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BF" w:rsidRDefault="00EC0EBF" w:rsidP="001219FD">
      <w:pPr>
        <w:spacing w:after="120"/>
        <w:ind w:left="720" w:hanging="720"/>
        <w:contextualSpacing/>
        <w:jc w:val="center"/>
        <w:rPr>
          <w:b/>
          <w:color w:val="000000"/>
          <w:sz w:val="28"/>
          <w:szCs w:val="28"/>
        </w:rPr>
      </w:pPr>
      <w:r w:rsidRPr="00FB3976">
        <w:rPr>
          <w:sz w:val="28"/>
          <w:szCs w:val="28"/>
        </w:rPr>
        <w:t>“</w:t>
      </w:r>
      <w:r>
        <w:rPr>
          <w:b/>
          <w:color w:val="000000"/>
          <w:sz w:val="28"/>
          <w:szCs w:val="28"/>
        </w:rPr>
        <w:t>A Few T</w:t>
      </w:r>
      <w:r w:rsidRPr="00300651">
        <w:rPr>
          <w:b/>
          <w:color w:val="000000"/>
          <w:sz w:val="28"/>
          <w:szCs w:val="28"/>
        </w:rPr>
        <w:t xml:space="preserve">houghts about </w:t>
      </w:r>
      <w:r>
        <w:rPr>
          <w:b/>
          <w:color w:val="000000"/>
          <w:sz w:val="28"/>
          <w:szCs w:val="28"/>
        </w:rPr>
        <w:t>Origins of Regulatory Takings C</w:t>
      </w:r>
      <w:r w:rsidRPr="00300651">
        <w:rPr>
          <w:b/>
          <w:color w:val="000000"/>
          <w:sz w:val="28"/>
          <w:szCs w:val="28"/>
        </w:rPr>
        <w:t xml:space="preserve">onfusion </w:t>
      </w:r>
    </w:p>
    <w:p w:rsidR="00EC0EBF" w:rsidRPr="00300651" w:rsidRDefault="00EC0EBF" w:rsidP="001219FD">
      <w:pPr>
        <w:spacing w:after="120"/>
        <w:ind w:left="720" w:hanging="720"/>
        <w:contextualSpacing/>
        <w:jc w:val="center"/>
        <w:rPr>
          <w:sz w:val="28"/>
          <w:szCs w:val="28"/>
        </w:rPr>
      </w:pPr>
      <w:r>
        <w:rPr>
          <w:b/>
          <w:color w:val="000000"/>
          <w:sz w:val="28"/>
          <w:szCs w:val="28"/>
        </w:rPr>
        <w:t>S</w:t>
      </w:r>
      <w:r w:rsidRPr="00300651">
        <w:rPr>
          <w:b/>
          <w:color w:val="000000"/>
          <w:sz w:val="28"/>
          <w:szCs w:val="28"/>
        </w:rPr>
        <w:t xml:space="preserve">ubsequent to </w:t>
      </w:r>
      <w:r w:rsidRPr="007900C2">
        <w:rPr>
          <w:b/>
          <w:i/>
          <w:color w:val="000000"/>
          <w:sz w:val="28"/>
          <w:szCs w:val="28"/>
        </w:rPr>
        <w:t>Penn Central</w:t>
      </w:r>
      <w:r>
        <w:rPr>
          <w:b/>
          <w:i/>
          <w:color w:val="000000"/>
          <w:sz w:val="28"/>
          <w:szCs w:val="28"/>
        </w:rPr>
        <w:t xml:space="preserve"> </w:t>
      </w:r>
      <w:r>
        <w:rPr>
          <w:sz w:val="28"/>
          <w:szCs w:val="28"/>
        </w:rPr>
        <w:t>”</w:t>
      </w:r>
    </w:p>
    <w:p w:rsidR="00EC0EBF" w:rsidRPr="00300651" w:rsidRDefault="00EC0EBF" w:rsidP="000649C9">
      <w:pPr>
        <w:spacing w:after="120"/>
        <w:ind w:left="720" w:hanging="720"/>
        <w:jc w:val="center"/>
        <w:rPr>
          <w:color w:val="000000"/>
        </w:rPr>
      </w:pPr>
      <w:r w:rsidRPr="00300651">
        <w:rPr>
          <w:color w:val="000000"/>
        </w:rPr>
        <w:t xml:space="preserve">Draft </w:t>
      </w:r>
      <w:r>
        <w:rPr>
          <w:color w:val="000000"/>
        </w:rPr>
        <w:t>0405</w:t>
      </w:r>
      <w:r w:rsidRPr="00300651">
        <w:rPr>
          <w:color w:val="000000"/>
        </w:rPr>
        <w:t>11</w:t>
      </w:r>
      <w:r>
        <w:rPr>
          <w:color w:val="000000"/>
        </w:rPr>
        <w:t xml:space="preserve"> – not for cite</w:t>
      </w:r>
    </w:p>
    <w:p w:rsidR="00EC0EBF" w:rsidRDefault="00EC0EBF" w:rsidP="000649C9">
      <w:pPr>
        <w:spacing w:after="120"/>
        <w:ind w:left="720" w:hanging="720"/>
        <w:jc w:val="center"/>
        <w:rPr>
          <w:color w:val="000000"/>
        </w:rPr>
      </w:pPr>
      <w:r w:rsidRPr="00300651">
        <w:rPr>
          <w:color w:val="000000"/>
        </w:rPr>
        <w:t>William W. Wade, Ph. D.</w:t>
      </w:r>
    </w:p>
    <w:p w:rsidR="00EC0EBF" w:rsidRDefault="00EC0EBF" w:rsidP="000649C9">
      <w:pPr>
        <w:spacing w:after="120"/>
        <w:ind w:left="720" w:hanging="720"/>
        <w:jc w:val="center"/>
        <w:rPr>
          <w:color w:val="000000"/>
        </w:rPr>
      </w:pPr>
      <w:hyperlink r:id="rId7" w:history="1">
        <w:r w:rsidRPr="006240D9">
          <w:rPr>
            <w:rStyle w:val="Hyperlink"/>
          </w:rPr>
          <w:t>wade@energyandwatereconomics.com</w:t>
        </w:r>
      </w:hyperlink>
    </w:p>
    <w:p w:rsidR="00EC0EBF" w:rsidRPr="00300651" w:rsidRDefault="00EC0EBF" w:rsidP="000649C9">
      <w:pPr>
        <w:spacing w:after="120"/>
        <w:ind w:left="720" w:hanging="720"/>
        <w:jc w:val="center"/>
        <w:rPr>
          <w:color w:val="000000"/>
        </w:rPr>
      </w:pPr>
      <w:r>
        <w:rPr>
          <w:color w:val="000000"/>
        </w:rPr>
        <w:t>931-490-0060</w:t>
      </w:r>
    </w:p>
    <w:p w:rsidR="00EC0EBF" w:rsidRPr="00C0076A" w:rsidRDefault="00EC0EBF" w:rsidP="000649C9">
      <w:pPr>
        <w:spacing w:after="120"/>
        <w:ind w:left="720" w:hanging="720"/>
        <w:rPr>
          <w:color w:val="000000"/>
          <w:szCs w:val="24"/>
          <w:u w:val="single"/>
        </w:rPr>
      </w:pPr>
      <w:r w:rsidRPr="00C0076A">
        <w:rPr>
          <w:color w:val="000000"/>
          <w:szCs w:val="24"/>
          <w:u w:val="single"/>
        </w:rPr>
        <w:t xml:space="preserve">Outline </w:t>
      </w:r>
    </w:p>
    <w:p w:rsidR="00EC0EBF" w:rsidRPr="00C0076A" w:rsidRDefault="00EC0EBF" w:rsidP="00181F11">
      <w:pPr>
        <w:spacing w:after="120"/>
        <w:ind w:left="720" w:hanging="720"/>
        <w:rPr>
          <w:color w:val="000000"/>
          <w:szCs w:val="24"/>
        </w:rPr>
      </w:pPr>
      <w:r w:rsidRPr="00C0076A">
        <w:rPr>
          <w:color w:val="000000"/>
          <w:szCs w:val="24"/>
        </w:rPr>
        <w:t>1</w:t>
      </w:r>
      <w:r w:rsidRPr="00C0076A">
        <w:rPr>
          <w:color w:val="000000"/>
          <w:szCs w:val="24"/>
        </w:rPr>
        <w:tab/>
        <w:t xml:space="preserve">Introduction: </w:t>
      </w:r>
      <w:r w:rsidRPr="00C0076A">
        <w:rPr>
          <w:i/>
          <w:color w:val="000000"/>
          <w:szCs w:val="24"/>
        </w:rPr>
        <w:t>Lingle</w:t>
      </w:r>
      <w:r w:rsidRPr="00C0076A">
        <w:rPr>
          <w:color w:val="000000"/>
          <w:szCs w:val="24"/>
        </w:rPr>
        <w:t xml:space="preserve"> affirmed magnitude of economic impact as determinative  </w:t>
      </w:r>
    </w:p>
    <w:p w:rsidR="00EC0EBF" w:rsidRPr="00C0076A" w:rsidRDefault="00EC0EBF" w:rsidP="00C0076A">
      <w:pPr>
        <w:spacing w:after="120"/>
        <w:ind w:left="720"/>
        <w:rPr>
          <w:color w:val="231F20"/>
          <w:szCs w:val="24"/>
        </w:rPr>
      </w:pPr>
      <w:r w:rsidRPr="00C0076A">
        <w:rPr>
          <w:color w:val="231F20"/>
          <w:szCs w:val="24"/>
        </w:rPr>
        <w:t>1.1</w:t>
      </w:r>
      <w:r w:rsidRPr="00C0076A">
        <w:rPr>
          <w:color w:val="231F20"/>
          <w:szCs w:val="24"/>
        </w:rPr>
        <w:tab/>
        <w:t>The real problems ensued after Penn Central.</w:t>
      </w:r>
    </w:p>
    <w:p w:rsidR="00EC0EBF" w:rsidRPr="00C0076A" w:rsidRDefault="00EC0EBF" w:rsidP="00181F11">
      <w:pPr>
        <w:spacing w:after="120"/>
        <w:ind w:left="634" w:hanging="634"/>
        <w:rPr>
          <w:szCs w:val="24"/>
        </w:rPr>
      </w:pPr>
      <w:r w:rsidRPr="00C0076A">
        <w:rPr>
          <w:szCs w:val="24"/>
        </w:rPr>
        <w:t>2</w:t>
      </w:r>
      <w:r w:rsidRPr="00C0076A">
        <w:rPr>
          <w:szCs w:val="24"/>
        </w:rPr>
        <w:tab/>
        <w:t>Federal Circuit and Court of Federal Claims clarified but ultimately confounded the Penn Central Test.</w:t>
      </w:r>
    </w:p>
    <w:p w:rsidR="00EC0EBF" w:rsidRPr="00C0076A" w:rsidRDefault="00EC0EBF" w:rsidP="00181F11">
      <w:pPr>
        <w:spacing w:after="120"/>
        <w:ind w:left="720"/>
        <w:rPr>
          <w:szCs w:val="24"/>
        </w:rPr>
      </w:pPr>
      <w:r w:rsidRPr="00C0076A">
        <w:rPr>
          <w:szCs w:val="24"/>
        </w:rPr>
        <w:t>2.1</w:t>
      </w:r>
      <w:r w:rsidRPr="00C0076A">
        <w:rPr>
          <w:i/>
          <w:szCs w:val="24"/>
        </w:rPr>
        <w:tab/>
        <w:t>Florida Rock V</w:t>
      </w:r>
      <w:r w:rsidRPr="00C0076A">
        <w:rPr>
          <w:szCs w:val="24"/>
        </w:rPr>
        <w:t xml:space="preserve"> clarified the evaluation of a partial taking.</w:t>
      </w:r>
    </w:p>
    <w:p w:rsidR="00EC0EBF" w:rsidRPr="00C0076A" w:rsidRDefault="00EC0EBF" w:rsidP="00181F11">
      <w:pPr>
        <w:tabs>
          <w:tab w:val="left" w:pos="-1440"/>
        </w:tabs>
        <w:spacing w:after="120"/>
        <w:ind w:left="720" w:hanging="720"/>
        <w:rPr>
          <w:szCs w:val="24"/>
        </w:rPr>
      </w:pPr>
      <w:r w:rsidRPr="00C0076A">
        <w:rPr>
          <w:i/>
          <w:szCs w:val="24"/>
        </w:rPr>
        <w:tab/>
      </w:r>
      <w:r w:rsidRPr="00B80E64">
        <w:rPr>
          <w:szCs w:val="24"/>
        </w:rPr>
        <w:t>2.2</w:t>
      </w:r>
      <w:r w:rsidRPr="00C0076A">
        <w:rPr>
          <w:i/>
          <w:szCs w:val="24"/>
        </w:rPr>
        <w:tab/>
        <w:t xml:space="preserve">Cienega VIII </w:t>
      </w:r>
      <w:r w:rsidRPr="00C0076A">
        <w:rPr>
          <w:szCs w:val="24"/>
        </w:rPr>
        <w:t xml:space="preserve">applied </w:t>
      </w:r>
      <w:r w:rsidRPr="00C0076A">
        <w:rPr>
          <w:i/>
          <w:szCs w:val="24"/>
        </w:rPr>
        <w:t>Rock V’s</w:t>
      </w:r>
      <w:r w:rsidRPr="00C0076A">
        <w:rPr>
          <w:szCs w:val="24"/>
        </w:rPr>
        <w:t xml:space="preserve"> logic to temporary takings.</w:t>
      </w:r>
    </w:p>
    <w:p w:rsidR="00EC0EBF" w:rsidRPr="00C0076A" w:rsidRDefault="00EC0EBF" w:rsidP="00181F11">
      <w:pPr>
        <w:widowControl/>
        <w:spacing w:after="120"/>
        <w:ind w:left="1440" w:hanging="720"/>
        <w:rPr>
          <w:szCs w:val="24"/>
        </w:rPr>
      </w:pPr>
      <w:r w:rsidRPr="00B80E64">
        <w:rPr>
          <w:szCs w:val="24"/>
        </w:rPr>
        <w:t>2.3</w:t>
      </w:r>
      <w:r w:rsidRPr="00C0076A">
        <w:rPr>
          <w:i/>
          <w:szCs w:val="24"/>
        </w:rPr>
        <w:tab/>
        <w:t>Cienega X</w:t>
      </w:r>
      <w:r w:rsidRPr="00C0076A">
        <w:rPr>
          <w:szCs w:val="24"/>
        </w:rPr>
        <w:t xml:space="preserve"> took a radical back-step in understanding of Penn Central’s economic prongs for income producing properties.</w:t>
      </w:r>
    </w:p>
    <w:p w:rsidR="00EC0EBF" w:rsidRPr="00C0076A" w:rsidRDefault="00EC0EBF" w:rsidP="00C0076A">
      <w:pPr>
        <w:spacing w:after="120"/>
        <w:ind w:left="720" w:firstLine="720"/>
        <w:rPr>
          <w:szCs w:val="24"/>
        </w:rPr>
      </w:pPr>
      <w:r w:rsidRPr="00C0076A">
        <w:rPr>
          <w:szCs w:val="24"/>
        </w:rPr>
        <w:t>2.3.1</w:t>
      </w:r>
      <w:r w:rsidRPr="00C0076A">
        <w:rPr>
          <w:szCs w:val="24"/>
        </w:rPr>
        <w:tab/>
      </w:r>
      <w:r>
        <w:rPr>
          <w:szCs w:val="24"/>
        </w:rPr>
        <w:t>Bef</w:t>
      </w:r>
      <w:r w:rsidRPr="00C0076A">
        <w:rPr>
          <w:szCs w:val="24"/>
        </w:rPr>
        <w:t>ore and after real estate valuations do not measure income loss.</w:t>
      </w:r>
    </w:p>
    <w:p w:rsidR="00EC0EBF" w:rsidRPr="00C0076A" w:rsidRDefault="00EC0EBF" w:rsidP="00C0076A">
      <w:pPr>
        <w:autoSpaceDE w:val="0"/>
        <w:autoSpaceDN w:val="0"/>
        <w:adjustRightInd w:val="0"/>
        <w:spacing w:after="120"/>
        <w:ind w:left="2160" w:hanging="720"/>
        <w:rPr>
          <w:szCs w:val="24"/>
        </w:rPr>
      </w:pPr>
      <w:r>
        <w:rPr>
          <w:szCs w:val="24"/>
        </w:rPr>
        <w:t>2.3.2</w:t>
      </w:r>
      <w:r>
        <w:rPr>
          <w:szCs w:val="24"/>
        </w:rPr>
        <w:tab/>
        <w:t>T</w:t>
      </w:r>
      <w:r w:rsidRPr="00C0076A">
        <w:rPr>
          <w:szCs w:val="24"/>
        </w:rPr>
        <w:t>akings law precludes evaluation of temporary takings with income after the taking period.</w:t>
      </w:r>
    </w:p>
    <w:p w:rsidR="00EC0EBF" w:rsidRPr="00C0076A" w:rsidRDefault="00EC0EBF" w:rsidP="00C0076A">
      <w:pPr>
        <w:widowControl/>
        <w:spacing w:after="120"/>
        <w:ind w:left="720" w:hanging="720"/>
        <w:rPr>
          <w:szCs w:val="24"/>
        </w:rPr>
      </w:pPr>
      <w:r w:rsidRPr="00C0076A">
        <w:rPr>
          <w:szCs w:val="24"/>
        </w:rPr>
        <w:t>3</w:t>
      </w:r>
      <w:r w:rsidRPr="00C0076A">
        <w:rPr>
          <w:szCs w:val="24"/>
        </w:rPr>
        <w:tab/>
        <w:t xml:space="preserve">Progeny of </w:t>
      </w:r>
      <w:r w:rsidRPr="00C0076A">
        <w:rPr>
          <w:i/>
          <w:szCs w:val="24"/>
        </w:rPr>
        <w:t>Cienega X</w:t>
      </w:r>
      <w:r w:rsidRPr="00C0076A">
        <w:rPr>
          <w:szCs w:val="24"/>
        </w:rPr>
        <w:t xml:space="preserve"> – </w:t>
      </w:r>
      <w:r w:rsidRPr="00C0076A">
        <w:rPr>
          <w:i/>
          <w:szCs w:val="24"/>
        </w:rPr>
        <w:t>Rose Acre Farms</w:t>
      </w:r>
      <w:r w:rsidRPr="00C0076A">
        <w:rPr>
          <w:szCs w:val="24"/>
        </w:rPr>
        <w:t xml:space="preserve"> &amp; </w:t>
      </w:r>
      <w:r w:rsidRPr="00C0076A">
        <w:rPr>
          <w:i/>
          <w:szCs w:val="24"/>
        </w:rPr>
        <w:t>CCA Associates</w:t>
      </w:r>
      <w:r w:rsidRPr="00C0076A">
        <w:rPr>
          <w:szCs w:val="24"/>
        </w:rPr>
        <w:t xml:space="preserve"> – reveal the effect of its confused application of Penn Central’s economic underpinnings.</w:t>
      </w:r>
    </w:p>
    <w:p w:rsidR="00EC0EBF" w:rsidRPr="00C0076A" w:rsidRDefault="00EC0EBF" w:rsidP="00181F11">
      <w:pPr>
        <w:autoSpaceDE w:val="0"/>
        <w:autoSpaceDN w:val="0"/>
        <w:adjustRightInd w:val="0"/>
        <w:spacing w:after="120"/>
        <w:ind w:left="1440" w:hanging="720"/>
        <w:rPr>
          <w:szCs w:val="24"/>
        </w:rPr>
      </w:pPr>
      <w:r w:rsidRPr="00C0076A">
        <w:rPr>
          <w:szCs w:val="24"/>
        </w:rPr>
        <w:t>3.1</w:t>
      </w:r>
      <w:r w:rsidRPr="00C0076A">
        <w:rPr>
          <w:szCs w:val="24"/>
        </w:rPr>
        <w:tab/>
      </w:r>
      <w:r w:rsidRPr="00C0076A">
        <w:rPr>
          <w:i/>
          <w:szCs w:val="24"/>
        </w:rPr>
        <w:t>Rose Acre Farms</w:t>
      </w:r>
      <w:r w:rsidRPr="00C0076A">
        <w:rPr>
          <w:szCs w:val="24"/>
        </w:rPr>
        <w:t xml:space="preserve"> confounded numerator and denominator to reach a confused analysis of </w:t>
      </w:r>
      <w:r w:rsidRPr="00C0076A">
        <w:rPr>
          <w:i/>
          <w:szCs w:val="24"/>
        </w:rPr>
        <w:t>Penn Central</w:t>
      </w:r>
      <w:r w:rsidRPr="00C0076A">
        <w:rPr>
          <w:szCs w:val="24"/>
        </w:rPr>
        <w:t xml:space="preserve"> economic factors.</w:t>
      </w:r>
    </w:p>
    <w:p w:rsidR="00EC0EBF" w:rsidRPr="00C0076A" w:rsidRDefault="00EC0EBF" w:rsidP="00181F11">
      <w:pPr>
        <w:widowControl/>
        <w:autoSpaceDE w:val="0"/>
        <w:autoSpaceDN w:val="0"/>
        <w:adjustRightInd w:val="0"/>
        <w:spacing w:after="120"/>
        <w:ind w:left="1440" w:hanging="720"/>
        <w:rPr>
          <w:szCs w:val="24"/>
        </w:rPr>
      </w:pPr>
      <w:r w:rsidRPr="00C0076A">
        <w:rPr>
          <w:szCs w:val="24"/>
        </w:rPr>
        <w:t>3.2</w:t>
      </w:r>
      <w:r w:rsidRPr="00C0076A">
        <w:rPr>
          <w:szCs w:val="24"/>
        </w:rPr>
        <w:tab/>
        <w:t xml:space="preserve">Federal Circuit abruptly remanded </w:t>
      </w:r>
      <w:r w:rsidRPr="00C0076A">
        <w:rPr>
          <w:i/>
          <w:szCs w:val="24"/>
        </w:rPr>
        <w:t>CCA’s</w:t>
      </w:r>
      <w:r w:rsidRPr="00C0076A">
        <w:rPr>
          <w:szCs w:val="24"/>
        </w:rPr>
        <w:t xml:space="preserve"> thorough Claims Court analysis of lost income for reconsideration under </w:t>
      </w:r>
      <w:r w:rsidRPr="00C0076A">
        <w:rPr>
          <w:i/>
          <w:szCs w:val="24"/>
        </w:rPr>
        <w:t>Cienega X</w:t>
      </w:r>
      <w:r>
        <w:rPr>
          <w:i/>
          <w:szCs w:val="24"/>
        </w:rPr>
        <w:t>’s</w:t>
      </w:r>
      <w:r>
        <w:rPr>
          <w:szCs w:val="24"/>
        </w:rPr>
        <w:t xml:space="preserve"> change in property value</w:t>
      </w:r>
      <w:r w:rsidRPr="00C0076A">
        <w:rPr>
          <w:szCs w:val="24"/>
        </w:rPr>
        <w:t>.</w:t>
      </w:r>
    </w:p>
    <w:p w:rsidR="00EC0EBF" w:rsidRPr="00C0076A" w:rsidRDefault="00EC0EBF" w:rsidP="00975E00">
      <w:pPr>
        <w:widowControl/>
        <w:autoSpaceDE w:val="0"/>
        <w:autoSpaceDN w:val="0"/>
        <w:adjustRightInd w:val="0"/>
        <w:snapToGrid w:val="0"/>
        <w:ind w:left="720" w:hanging="720"/>
        <w:rPr>
          <w:color w:val="000000"/>
          <w:szCs w:val="24"/>
        </w:rPr>
      </w:pPr>
      <w:r w:rsidRPr="00C0076A">
        <w:rPr>
          <w:szCs w:val="24"/>
        </w:rPr>
        <w:t>4</w:t>
      </w:r>
      <w:r w:rsidRPr="00C0076A">
        <w:rPr>
          <w:szCs w:val="24"/>
        </w:rPr>
        <w:tab/>
      </w:r>
      <w:r w:rsidRPr="00C0076A">
        <w:rPr>
          <w:color w:val="000000"/>
          <w:szCs w:val="24"/>
        </w:rPr>
        <w:t xml:space="preserve">Conclusions: </w:t>
      </w:r>
      <w:r>
        <w:rPr>
          <w:color w:val="000000"/>
          <w:szCs w:val="24"/>
        </w:rPr>
        <w:t xml:space="preserve"> </w:t>
      </w:r>
      <w:r w:rsidRPr="00C0076A">
        <w:rPr>
          <w:i/>
          <w:color w:val="000000"/>
          <w:szCs w:val="24"/>
        </w:rPr>
        <w:t>Florida Rock V</w:t>
      </w:r>
      <w:r w:rsidRPr="00C0076A">
        <w:rPr>
          <w:color w:val="000000"/>
          <w:szCs w:val="24"/>
        </w:rPr>
        <w:t xml:space="preserve"> and </w:t>
      </w:r>
      <w:r w:rsidRPr="00C0076A">
        <w:rPr>
          <w:i/>
          <w:color w:val="000000"/>
          <w:szCs w:val="24"/>
        </w:rPr>
        <w:t>Cienega Gardens VIII</w:t>
      </w:r>
      <w:r w:rsidRPr="00C0076A">
        <w:rPr>
          <w:color w:val="000000"/>
          <w:szCs w:val="24"/>
        </w:rPr>
        <w:t xml:space="preserve"> embed seminal applications of standard economic theories and valuation practice. </w:t>
      </w:r>
    </w:p>
    <w:p w:rsidR="00EC0EBF" w:rsidRPr="00C0076A" w:rsidRDefault="00EC0EBF" w:rsidP="00975E00">
      <w:pPr>
        <w:widowControl/>
        <w:autoSpaceDE w:val="0"/>
        <w:autoSpaceDN w:val="0"/>
        <w:adjustRightInd w:val="0"/>
        <w:snapToGrid w:val="0"/>
        <w:rPr>
          <w:color w:val="000000"/>
          <w:szCs w:val="24"/>
        </w:rPr>
      </w:pPr>
    </w:p>
    <w:p w:rsidR="00EC0EBF" w:rsidRPr="00C0076A" w:rsidRDefault="00EC0EBF" w:rsidP="00DF02C3">
      <w:pPr>
        <w:widowControl/>
        <w:autoSpaceDE w:val="0"/>
        <w:autoSpaceDN w:val="0"/>
        <w:adjustRightInd w:val="0"/>
        <w:spacing w:after="120"/>
        <w:ind w:left="720" w:hanging="720"/>
        <w:rPr>
          <w:szCs w:val="24"/>
        </w:rPr>
      </w:pPr>
    </w:p>
    <w:p w:rsidR="00EC0EBF" w:rsidRDefault="00EC0EBF" w:rsidP="00181F11">
      <w:pPr>
        <w:ind w:left="720" w:hanging="720"/>
        <w:contextualSpacing/>
        <w:jc w:val="center"/>
        <w:rPr>
          <w:sz w:val="28"/>
          <w:szCs w:val="28"/>
        </w:rPr>
      </w:pPr>
      <w:r>
        <w:rPr>
          <w:sz w:val="28"/>
          <w:szCs w:val="28"/>
        </w:rPr>
        <w:br/>
      </w:r>
    </w:p>
    <w:p w:rsidR="00EC0EBF" w:rsidRDefault="00EC0EBF">
      <w:pPr>
        <w:widowControl/>
        <w:spacing w:after="200" w:line="276" w:lineRule="auto"/>
        <w:rPr>
          <w:sz w:val="28"/>
          <w:szCs w:val="28"/>
        </w:rPr>
      </w:pPr>
      <w:r>
        <w:rPr>
          <w:sz w:val="28"/>
          <w:szCs w:val="28"/>
        </w:rPr>
        <w:br w:type="page"/>
      </w:r>
    </w:p>
    <w:p w:rsidR="00EC0EBF" w:rsidRPr="00300651" w:rsidRDefault="00EC0EBF" w:rsidP="007900C2">
      <w:pPr>
        <w:spacing w:after="120"/>
        <w:ind w:left="720" w:hanging="720"/>
        <w:contextualSpacing/>
        <w:jc w:val="center"/>
        <w:rPr>
          <w:sz w:val="28"/>
          <w:szCs w:val="28"/>
        </w:rPr>
      </w:pPr>
      <w:r w:rsidRPr="00300651">
        <w:rPr>
          <w:sz w:val="28"/>
          <w:szCs w:val="28"/>
        </w:rPr>
        <w:t>“</w:t>
      </w:r>
      <w:r w:rsidRPr="00300651">
        <w:rPr>
          <w:b/>
          <w:color w:val="000000"/>
          <w:sz w:val="28"/>
          <w:szCs w:val="28"/>
        </w:rPr>
        <w:t xml:space="preserve">A few thoughts about </w:t>
      </w:r>
      <w:r>
        <w:rPr>
          <w:b/>
          <w:color w:val="000000"/>
          <w:sz w:val="28"/>
          <w:szCs w:val="28"/>
        </w:rPr>
        <w:t xml:space="preserve">origins of </w:t>
      </w:r>
      <w:r w:rsidRPr="00300651">
        <w:rPr>
          <w:b/>
          <w:color w:val="000000"/>
          <w:sz w:val="28"/>
          <w:szCs w:val="28"/>
        </w:rPr>
        <w:t xml:space="preserve">confusion subsequent to </w:t>
      </w:r>
      <w:r w:rsidRPr="007900C2">
        <w:rPr>
          <w:b/>
          <w:i/>
          <w:color w:val="000000"/>
          <w:sz w:val="28"/>
          <w:szCs w:val="28"/>
        </w:rPr>
        <w:t>Penn Central</w:t>
      </w:r>
      <w:r w:rsidRPr="00300651">
        <w:rPr>
          <w:sz w:val="28"/>
          <w:szCs w:val="28"/>
        </w:rPr>
        <w:t xml:space="preserve">" </w:t>
      </w:r>
    </w:p>
    <w:p w:rsidR="00EC0EBF" w:rsidRPr="00300651" w:rsidRDefault="00EC0EBF" w:rsidP="00AD0412">
      <w:pPr>
        <w:spacing w:after="120"/>
        <w:ind w:left="720" w:hanging="720"/>
        <w:jc w:val="center"/>
        <w:rPr>
          <w:color w:val="000000"/>
        </w:rPr>
      </w:pPr>
      <w:r w:rsidRPr="00300651">
        <w:rPr>
          <w:color w:val="000000"/>
        </w:rPr>
        <w:t>Draft 0</w:t>
      </w:r>
      <w:r>
        <w:rPr>
          <w:color w:val="000000"/>
        </w:rPr>
        <w:t>405</w:t>
      </w:r>
      <w:r w:rsidRPr="00300651">
        <w:rPr>
          <w:color w:val="000000"/>
        </w:rPr>
        <w:t>11</w:t>
      </w:r>
    </w:p>
    <w:p w:rsidR="00EC0EBF" w:rsidRPr="00300651" w:rsidRDefault="00EC0EBF" w:rsidP="00AD0412">
      <w:pPr>
        <w:spacing w:after="120"/>
        <w:ind w:left="720" w:hanging="720"/>
        <w:jc w:val="center"/>
        <w:rPr>
          <w:color w:val="000000"/>
        </w:rPr>
      </w:pPr>
      <w:r w:rsidRPr="00300651">
        <w:rPr>
          <w:color w:val="000000"/>
        </w:rPr>
        <w:t>William W. Wade, Ph. D.</w:t>
      </w:r>
      <w:r w:rsidRPr="0085553D">
        <w:rPr>
          <w:rStyle w:val="FootnoteReference"/>
          <w:color w:val="000000"/>
          <w:vertAlign w:val="superscript"/>
        </w:rPr>
        <w:footnoteReference w:id="1"/>
      </w:r>
    </w:p>
    <w:p w:rsidR="00EC0EBF" w:rsidRPr="00682B8C" w:rsidRDefault="00EC0EBF" w:rsidP="000B7B27">
      <w:pPr>
        <w:spacing w:after="120"/>
        <w:ind w:left="720" w:hanging="720"/>
        <w:rPr>
          <w:b/>
          <w:color w:val="000000"/>
          <w:szCs w:val="24"/>
        </w:rPr>
      </w:pPr>
      <w:r w:rsidRPr="00682B8C">
        <w:rPr>
          <w:b/>
          <w:color w:val="000000"/>
          <w:szCs w:val="24"/>
        </w:rPr>
        <w:t>1</w:t>
      </w:r>
      <w:r w:rsidRPr="00682B8C">
        <w:rPr>
          <w:b/>
          <w:color w:val="000000"/>
          <w:szCs w:val="24"/>
        </w:rPr>
        <w:tab/>
        <w:t xml:space="preserve">Introduction:  </w:t>
      </w:r>
      <w:r w:rsidRPr="00682B8C">
        <w:rPr>
          <w:b/>
          <w:i/>
          <w:color w:val="000000"/>
          <w:szCs w:val="24"/>
        </w:rPr>
        <w:t>Lingle</w:t>
      </w:r>
      <w:r w:rsidRPr="00682B8C">
        <w:rPr>
          <w:b/>
          <w:color w:val="000000"/>
          <w:szCs w:val="24"/>
        </w:rPr>
        <w:t xml:space="preserve"> affirmed magnitude of economic impact as determinative  </w:t>
      </w:r>
    </w:p>
    <w:p w:rsidR="00EC0EBF" w:rsidRPr="00300651" w:rsidRDefault="00EC0EBF" w:rsidP="007900C2">
      <w:pPr>
        <w:spacing w:after="120"/>
        <w:rPr>
          <w:color w:val="000000"/>
        </w:rPr>
      </w:pPr>
      <w:r>
        <w:rPr>
          <w:color w:val="000000"/>
        </w:rPr>
        <w:t>Analysis</w:t>
      </w:r>
      <w:r w:rsidRPr="00300651">
        <w:rPr>
          <w:color w:val="000000"/>
        </w:rPr>
        <w:t xml:space="preserve"> </w:t>
      </w:r>
      <w:r>
        <w:rPr>
          <w:color w:val="000000"/>
        </w:rPr>
        <w:t>of</w:t>
      </w:r>
      <w:r w:rsidRPr="00300651">
        <w:rPr>
          <w:color w:val="000000"/>
        </w:rPr>
        <w:t xml:space="preserve"> the economic </w:t>
      </w:r>
      <w:r>
        <w:rPr>
          <w:color w:val="000000"/>
        </w:rPr>
        <w:t>applications</w:t>
      </w:r>
      <w:r w:rsidRPr="00300651">
        <w:rPr>
          <w:color w:val="000000"/>
        </w:rPr>
        <w:t xml:space="preserve"> of the </w:t>
      </w:r>
      <w:r w:rsidRPr="0085553D">
        <w:rPr>
          <w:i/>
          <w:color w:val="000000"/>
        </w:rPr>
        <w:t>Penn Central</w:t>
      </w:r>
      <w:r w:rsidRPr="00300651">
        <w:rPr>
          <w:color w:val="000000"/>
        </w:rPr>
        <w:t xml:space="preserve"> decisio</w:t>
      </w:r>
      <w:r>
        <w:rPr>
          <w:color w:val="000000"/>
        </w:rPr>
        <w:t>n</w:t>
      </w:r>
      <w:r w:rsidRPr="00E910CC">
        <w:rPr>
          <w:rStyle w:val="FootnoteReference"/>
          <w:color w:val="000000"/>
          <w:vertAlign w:val="superscript"/>
        </w:rPr>
        <w:footnoteReference w:id="2"/>
      </w:r>
      <w:r>
        <w:rPr>
          <w:color w:val="000000"/>
        </w:rPr>
        <w:t xml:space="preserve"> in subsequent regulatory takings cases reveals that takings jurisprudence has diverged from standard financial economics</w:t>
      </w:r>
      <w:r w:rsidRPr="00300651">
        <w:rPr>
          <w:color w:val="000000"/>
        </w:rPr>
        <w:t xml:space="preserve">. </w:t>
      </w:r>
      <w:r>
        <w:rPr>
          <w:color w:val="000000"/>
        </w:rPr>
        <w:t xml:space="preserve"> </w:t>
      </w:r>
      <w:r w:rsidRPr="00300651">
        <w:rPr>
          <w:i/>
          <w:color w:val="000000"/>
        </w:rPr>
        <w:t xml:space="preserve">Penn Central </w:t>
      </w:r>
      <w:r w:rsidRPr="00300651">
        <w:rPr>
          <w:color w:val="000000"/>
        </w:rPr>
        <w:t>established several factors that have particular significance</w:t>
      </w:r>
      <w:r w:rsidRPr="00300651">
        <w:rPr>
          <w:rStyle w:val="FootnoteReference"/>
          <w:color w:val="000000"/>
          <w:vertAlign w:val="superscript"/>
        </w:rPr>
        <w:footnoteReference w:id="3"/>
      </w:r>
      <w:r w:rsidRPr="00300651">
        <w:rPr>
          <w:color w:val="000000"/>
        </w:rPr>
        <w:t xml:space="preserve"> to the decision to pay compensation for a regulatory taking:</w:t>
      </w:r>
    </w:p>
    <w:p w:rsidR="00EC0EBF" w:rsidRPr="00300651" w:rsidRDefault="00EC0EBF" w:rsidP="007900C2">
      <w:pPr>
        <w:pStyle w:val="ListParagraph"/>
        <w:numPr>
          <w:ilvl w:val="0"/>
          <w:numId w:val="5"/>
        </w:numPr>
        <w:spacing w:after="120"/>
        <w:ind w:left="720" w:hanging="270"/>
        <w:rPr>
          <w:color w:val="000000"/>
        </w:rPr>
      </w:pPr>
      <w:r w:rsidRPr="00300651">
        <w:rPr>
          <w:color w:val="000000"/>
        </w:rPr>
        <w:t xml:space="preserve">the economic impact of the regulation on the claimant; </w:t>
      </w:r>
    </w:p>
    <w:p w:rsidR="00EC0EBF" w:rsidRPr="00300651" w:rsidRDefault="00EC0EBF" w:rsidP="007900C2">
      <w:pPr>
        <w:pStyle w:val="ListParagraph"/>
        <w:numPr>
          <w:ilvl w:val="1"/>
          <w:numId w:val="5"/>
        </w:numPr>
        <w:spacing w:after="120"/>
        <w:ind w:left="720" w:hanging="270"/>
        <w:rPr>
          <w:color w:val="000000"/>
        </w:rPr>
      </w:pPr>
      <w:r w:rsidRPr="00300651">
        <w:rPr>
          <w:color w:val="000000"/>
        </w:rPr>
        <w:t xml:space="preserve">the extent to which the regulation has interfered with distinct investment-backed expectations (DIBE); </w:t>
      </w:r>
    </w:p>
    <w:p w:rsidR="00EC0EBF" w:rsidRPr="00300651" w:rsidRDefault="00EC0EBF" w:rsidP="007900C2">
      <w:pPr>
        <w:pStyle w:val="ListParagraph"/>
        <w:numPr>
          <w:ilvl w:val="1"/>
          <w:numId w:val="5"/>
        </w:numPr>
        <w:spacing w:after="120"/>
        <w:ind w:left="720" w:hanging="270"/>
      </w:pPr>
      <w:r w:rsidRPr="00300651">
        <w:rPr>
          <w:color w:val="000000"/>
        </w:rPr>
        <w:t xml:space="preserve">the character of the government regulation. </w:t>
      </w:r>
    </w:p>
    <w:p w:rsidR="00EC0EBF" w:rsidRDefault="00EC0EBF" w:rsidP="007900C2">
      <w:pPr>
        <w:pStyle w:val="ListParagraph"/>
        <w:spacing w:after="120"/>
        <w:ind w:left="1440"/>
        <w:rPr>
          <w:color w:val="000000"/>
        </w:rPr>
      </w:pPr>
    </w:p>
    <w:p w:rsidR="00EC0EBF" w:rsidRPr="00300651" w:rsidRDefault="00EC0EBF" w:rsidP="00E910CC">
      <w:pPr>
        <w:pStyle w:val="ListParagraph"/>
        <w:ind w:left="0"/>
      </w:pPr>
      <w:r>
        <w:rPr>
          <w:color w:val="000000"/>
        </w:rPr>
        <w:t>These factors are</w:t>
      </w:r>
      <w:r w:rsidRPr="00300651">
        <w:rPr>
          <w:color w:val="000000"/>
        </w:rPr>
        <w:t xml:space="preserve"> known as the Penn Central test, affirmed repeatedly as the eye of the needle through which millions of words have been jammed with little agreement among courts as to how to analyze the three-step test. </w:t>
      </w:r>
      <w:r>
        <w:rPr>
          <w:color w:val="000000"/>
        </w:rPr>
        <w:t xml:space="preserve"> </w:t>
      </w:r>
      <w:r w:rsidRPr="00300651">
        <w:rPr>
          <w:color w:val="000000"/>
        </w:rPr>
        <w:t>The Supreme Court has provided no elucidation beyond</w:t>
      </w:r>
      <w:r w:rsidRPr="00300651">
        <w:rPr>
          <w:i/>
          <w:color w:val="000000"/>
        </w:rPr>
        <w:t xml:space="preserve"> Palazzolo’s</w:t>
      </w:r>
      <w:r w:rsidRPr="00300651">
        <w:rPr>
          <w:color w:val="000000"/>
        </w:rPr>
        <w:t xml:space="preserve">:  </w:t>
      </w:r>
      <w:r w:rsidRPr="00300651">
        <w:rPr>
          <w:szCs w:val="22"/>
        </w:rPr>
        <w:t xml:space="preserve">“Our polestar . . .  remains the principles set forth in </w:t>
      </w:r>
      <w:r w:rsidRPr="00300651">
        <w:rPr>
          <w:rStyle w:val="Emphasis"/>
          <w:szCs w:val="22"/>
        </w:rPr>
        <w:t>Penn Central</w:t>
      </w:r>
      <w:r w:rsidRPr="00300651">
        <w:rPr>
          <w:szCs w:val="22"/>
        </w:rPr>
        <w:t xml:space="preserve"> itself and our other cases that govern partial regulatory</w:t>
      </w:r>
      <w:r w:rsidRPr="00300651">
        <w:t xml:space="preserve"> takings.”</w:t>
      </w:r>
      <w:r w:rsidRPr="00300651">
        <w:rPr>
          <w:rStyle w:val="FootnoteReference"/>
          <w:vertAlign w:val="superscript"/>
        </w:rPr>
        <w:footnoteReference w:id="4"/>
      </w:r>
      <w:r w:rsidRPr="00300651">
        <w:t xml:space="preserve"> </w:t>
      </w:r>
      <w:r w:rsidRPr="00300651">
        <w:rPr>
          <w:i/>
        </w:rPr>
        <w:t>Lingle</w:t>
      </w:r>
      <w:r>
        <w:t xml:space="preserve"> emphasized</w:t>
      </w:r>
      <w:r w:rsidRPr="00300651">
        <w:t xml:space="preserve"> the polestar importance of the Penn Central test in 2005</w:t>
      </w:r>
      <w:r w:rsidRPr="00300651">
        <w:rPr>
          <w:rStyle w:val="FootnoteReference"/>
          <w:vertAlign w:val="superscript"/>
        </w:rPr>
        <w:footnoteReference w:id="5"/>
      </w:r>
      <w:r w:rsidRPr="00300651">
        <w:t xml:space="preserve">  </w:t>
      </w:r>
      <w:r>
        <w:t>and</w:t>
      </w:r>
      <w:r w:rsidRPr="00300651">
        <w:t xml:space="preserve"> affirm</w:t>
      </w:r>
      <w:r>
        <w:t>ed</w:t>
      </w:r>
      <w:r w:rsidRPr="00300651">
        <w:t xml:space="preserve"> that “the Penn Central inquiry turns in large measure . . .  upon the magnitude of the regulation’s </w:t>
      </w:r>
      <w:r w:rsidRPr="00300651">
        <w:rPr>
          <w:i/>
        </w:rPr>
        <w:t>economic impact</w:t>
      </w:r>
      <w:r w:rsidRPr="00300651">
        <w:t>. . . .”</w:t>
      </w:r>
      <w:r w:rsidRPr="00300651">
        <w:rPr>
          <w:rStyle w:val="FootnoteReference"/>
          <w:vertAlign w:val="superscript"/>
        </w:rPr>
        <w:footnoteReference w:id="6"/>
      </w:r>
    </w:p>
    <w:p w:rsidR="00EC0EBF" w:rsidRPr="00300651" w:rsidRDefault="00EC0EBF" w:rsidP="00E910CC">
      <w:pPr>
        <w:pStyle w:val="ListParagraph"/>
        <w:ind w:left="0"/>
        <w:rPr>
          <w:color w:val="000000"/>
        </w:rPr>
      </w:pPr>
    </w:p>
    <w:p w:rsidR="00EC0EBF" w:rsidRDefault="00EC0EBF" w:rsidP="00363CA8">
      <w:pPr>
        <w:pStyle w:val="ListParagraph"/>
        <w:widowControl/>
        <w:autoSpaceDE w:val="0"/>
        <w:autoSpaceDN w:val="0"/>
        <w:adjustRightInd w:val="0"/>
        <w:snapToGrid w:val="0"/>
        <w:ind w:left="0"/>
        <w:contextualSpacing w:val="0"/>
        <w:rPr>
          <w:rFonts w:ascii="Arial" w:hAnsi="Arial" w:cs="Arial"/>
          <w:b/>
          <w:color w:val="000000"/>
          <w:sz w:val="32"/>
          <w:szCs w:val="32"/>
        </w:rPr>
      </w:pPr>
      <w:r>
        <w:rPr>
          <w:szCs w:val="24"/>
        </w:rPr>
        <w:t>S</w:t>
      </w:r>
      <w:r w:rsidRPr="00300651">
        <w:rPr>
          <w:szCs w:val="24"/>
        </w:rPr>
        <w:t>ince the 1978 decision</w:t>
      </w:r>
      <w:r>
        <w:rPr>
          <w:szCs w:val="24"/>
        </w:rPr>
        <w:t>,</w:t>
      </w:r>
      <w:r w:rsidRPr="00300651">
        <w:rPr>
          <w:szCs w:val="24"/>
        </w:rPr>
        <w:t xml:space="preserve"> </w:t>
      </w:r>
      <w:r>
        <w:rPr>
          <w:szCs w:val="24"/>
        </w:rPr>
        <w:t>s</w:t>
      </w:r>
      <w:r w:rsidRPr="00300651">
        <w:rPr>
          <w:szCs w:val="24"/>
        </w:rPr>
        <w:t>ubsequent interpretations</w:t>
      </w:r>
      <w:r>
        <w:rPr>
          <w:szCs w:val="24"/>
        </w:rPr>
        <w:t xml:space="preserve"> </w:t>
      </w:r>
      <w:r w:rsidRPr="00300651">
        <w:rPr>
          <w:szCs w:val="24"/>
        </w:rPr>
        <w:t>of the meaning of Penn Central language have created so much confusion that</w:t>
      </w:r>
      <w:r>
        <w:rPr>
          <w:szCs w:val="24"/>
        </w:rPr>
        <w:t xml:space="preserve"> evaluation of the “magnitude of [a] regulation’s economic impact” is uncertain, at best.</w:t>
      </w:r>
      <w:r w:rsidRPr="008643D8">
        <w:rPr>
          <w:rStyle w:val="FootnoteReference"/>
          <w:szCs w:val="24"/>
          <w:vertAlign w:val="superscript"/>
        </w:rPr>
        <w:footnoteReference w:id="7"/>
      </w:r>
      <w:r w:rsidRPr="008643D8">
        <w:rPr>
          <w:szCs w:val="24"/>
          <w:vertAlign w:val="superscript"/>
        </w:rPr>
        <w:t xml:space="preserve"> </w:t>
      </w:r>
      <w:r w:rsidRPr="00300651">
        <w:rPr>
          <w:szCs w:val="24"/>
        </w:rPr>
        <w:t xml:space="preserve"> I would guess that practicing lawyers have no predictable way to evaluate the merits of a takings claim.  </w:t>
      </w:r>
      <w:r w:rsidRPr="00890394">
        <w:rPr>
          <w:color w:val="000000"/>
          <w:szCs w:val="24"/>
        </w:rPr>
        <w:t>What happened?</w:t>
      </w:r>
      <w:r>
        <w:rPr>
          <w:rFonts w:ascii="Arial" w:hAnsi="Arial" w:cs="Arial"/>
          <w:b/>
          <w:color w:val="000000"/>
          <w:sz w:val="32"/>
          <w:szCs w:val="32"/>
        </w:rPr>
        <w:t xml:space="preserve">  </w:t>
      </w:r>
    </w:p>
    <w:p w:rsidR="00EC0EBF" w:rsidRDefault="00EC0EBF" w:rsidP="00363CA8">
      <w:pPr>
        <w:pStyle w:val="ListParagraph"/>
        <w:widowControl/>
        <w:autoSpaceDE w:val="0"/>
        <w:autoSpaceDN w:val="0"/>
        <w:adjustRightInd w:val="0"/>
        <w:snapToGrid w:val="0"/>
        <w:ind w:left="0"/>
        <w:contextualSpacing w:val="0"/>
        <w:rPr>
          <w:rFonts w:ascii="Arial" w:hAnsi="Arial" w:cs="Arial"/>
          <w:b/>
          <w:color w:val="000000"/>
          <w:sz w:val="32"/>
          <w:szCs w:val="32"/>
        </w:rPr>
      </w:pPr>
    </w:p>
    <w:p w:rsidR="00EC0EBF" w:rsidRPr="00DE4776" w:rsidRDefault="00EC0EBF" w:rsidP="00363CA8">
      <w:pPr>
        <w:pStyle w:val="ListParagraph"/>
        <w:widowControl/>
        <w:autoSpaceDE w:val="0"/>
        <w:autoSpaceDN w:val="0"/>
        <w:adjustRightInd w:val="0"/>
        <w:snapToGrid w:val="0"/>
        <w:ind w:left="0"/>
        <w:contextualSpacing w:val="0"/>
        <w:rPr>
          <w:color w:val="000000"/>
        </w:rPr>
      </w:pPr>
      <w:r w:rsidRPr="00A430F9">
        <w:rPr>
          <w:color w:val="000000"/>
          <w:szCs w:val="24"/>
        </w:rPr>
        <w:t>My</w:t>
      </w:r>
      <w:r>
        <w:rPr>
          <w:color w:val="231F20"/>
        </w:rPr>
        <w:t xml:space="preserve"> perspective as an economist suggests that</w:t>
      </w:r>
      <w:r w:rsidRPr="00A430F9">
        <w:rPr>
          <w:color w:val="231F20"/>
        </w:rPr>
        <w:t xml:space="preserve"> </w:t>
      </w:r>
      <w:r w:rsidRPr="00A430F9">
        <w:rPr>
          <w:color w:val="000000"/>
          <w:szCs w:val="24"/>
        </w:rPr>
        <w:t>“</w:t>
      </w:r>
      <w:r>
        <w:rPr>
          <w:color w:val="000000"/>
          <w:szCs w:val="24"/>
        </w:rPr>
        <w:t xml:space="preserve">too much talk and not enough </w:t>
      </w:r>
      <w:r w:rsidRPr="00A430F9">
        <w:rPr>
          <w:color w:val="000000"/>
          <w:szCs w:val="24"/>
        </w:rPr>
        <w:t xml:space="preserve">math” </w:t>
      </w:r>
      <w:r>
        <w:rPr>
          <w:color w:val="000000"/>
          <w:szCs w:val="24"/>
        </w:rPr>
        <w:t>is the source of much of the</w:t>
      </w:r>
      <w:r w:rsidRPr="00A430F9">
        <w:rPr>
          <w:color w:val="000000"/>
          <w:szCs w:val="24"/>
        </w:rPr>
        <w:t xml:space="preserve"> confusion</w:t>
      </w:r>
      <w:r>
        <w:rPr>
          <w:color w:val="000000"/>
          <w:szCs w:val="24"/>
        </w:rPr>
        <w:t xml:space="preserve">. </w:t>
      </w:r>
      <w:r w:rsidRPr="00300651">
        <w:rPr>
          <w:color w:val="231F20"/>
        </w:rPr>
        <w:t xml:space="preserve"> Two of </w:t>
      </w:r>
      <w:r w:rsidRPr="00300651">
        <w:rPr>
          <w:i/>
          <w:iCs/>
          <w:color w:val="231F20"/>
        </w:rPr>
        <w:t>Penn Central</w:t>
      </w:r>
      <w:r w:rsidRPr="00300651">
        <w:rPr>
          <w:color w:val="231F20"/>
        </w:rPr>
        <w:t>’s “particularly significant factors” hinge on economic theory.  E</w:t>
      </w:r>
      <w:r w:rsidRPr="00300651">
        <w:t xml:space="preserve">conomic calculations must be undertaken and evaluated based on standard financial practice.  Knowledge of the law is necessary but not sufficient to conduct the </w:t>
      </w:r>
      <w:r w:rsidRPr="00300651">
        <w:rPr>
          <w:i/>
        </w:rPr>
        <w:t>Penn Central</w:t>
      </w:r>
      <w:r w:rsidRPr="00300651">
        <w:t xml:space="preserve"> test; knowledge of standard economic practice is essential.  C</w:t>
      </w:r>
      <w:r w:rsidRPr="00300651">
        <w:rPr>
          <w:color w:val="000000"/>
          <w:szCs w:val="24"/>
        </w:rPr>
        <w:t xml:space="preserve">ourts have confused </w:t>
      </w:r>
      <w:r w:rsidRPr="00300651">
        <w:rPr>
          <w:i/>
          <w:color w:val="000000"/>
          <w:szCs w:val="24"/>
        </w:rPr>
        <w:t>ad hoc</w:t>
      </w:r>
      <w:r w:rsidRPr="00300651">
        <w:rPr>
          <w:color w:val="000000"/>
          <w:szCs w:val="24"/>
        </w:rPr>
        <w:t xml:space="preserve"> considerations of case facts with economic valuation methods, which are not </w:t>
      </w:r>
      <w:r w:rsidRPr="00300651">
        <w:rPr>
          <w:i/>
          <w:color w:val="000000"/>
          <w:szCs w:val="24"/>
        </w:rPr>
        <w:t>ad hoc.</w:t>
      </w:r>
      <w:r w:rsidRPr="009A5999">
        <w:rPr>
          <w:rStyle w:val="FootnoteReference"/>
          <w:i/>
          <w:color w:val="000000"/>
          <w:szCs w:val="24"/>
          <w:vertAlign w:val="superscript"/>
        </w:rPr>
        <w:footnoteReference w:id="8"/>
      </w:r>
      <w:r>
        <w:rPr>
          <w:i/>
          <w:color w:val="000000"/>
          <w:szCs w:val="24"/>
        </w:rPr>
        <w:t xml:space="preserve"> </w:t>
      </w:r>
    </w:p>
    <w:p w:rsidR="00EC0EBF" w:rsidRDefault="00EC0EBF" w:rsidP="00363CA8">
      <w:pPr>
        <w:pStyle w:val="ListParagraph"/>
        <w:spacing w:after="240"/>
        <w:ind w:left="0"/>
        <w:rPr>
          <w:rFonts w:ascii="Arial" w:hAnsi="Arial" w:cs="Arial"/>
          <w:b/>
          <w:color w:val="000000"/>
          <w:sz w:val="32"/>
          <w:szCs w:val="32"/>
        </w:rPr>
      </w:pPr>
    </w:p>
    <w:p w:rsidR="00EC0EBF" w:rsidRDefault="00EC0EBF" w:rsidP="00363CA8">
      <w:pPr>
        <w:pStyle w:val="ListParagraph"/>
        <w:spacing w:after="240"/>
        <w:ind w:left="0"/>
      </w:pPr>
      <w:r w:rsidRPr="00300651">
        <w:rPr>
          <w:color w:val="231F20"/>
        </w:rPr>
        <w:t xml:space="preserve">While </w:t>
      </w:r>
      <w:r w:rsidRPr="00A430F9">
        <w:rPr>
          <w:i/>
          <w:color w:val="231F20"/>
        </w:rPr>
        <w:t>Penn Central</w:t>
      </w:r>
      <w:r w:rsidRPr="00300651">
        <w:rPr>
          <w:color w:val="231F20"/>
        </w:rPr>
        <w:t xml:space="preserve"> and</w:t>
      </w:r>
      <w:r w:rsidRPr="00A430F9">
        <w:rPr>
          <w:i/>
          <w:color w:val="231F20"/>
        </w:rPr>
        <w:t xml:space="preserve"> Lingle</w:t>
      </w:r>
      <w:r w:rsidRPr="00300651">
        <w:rPr>
          <w:color w:val="231F20"/>
        </w:rPr>
        <w:t xml:space="preserve"> clearly establish</w:t>
      </w:r>
      <w:r>
        <w:rPr>
          <w:color w:val="231F20"/>
        </w:rPr>
        <w:t>ed</w:t>
      </w:r>
      <w:r w:rsidRPr="00300651">
        <w:rPr>
          <w:color w:val="231F20"/>
        </w:rPr>
        <w:t xml:space="preserve"> the fundamental importance of the economic impact, state and federal courts have </w:t>
      </w:r>
      <w:r>
        <w:rPr>
          <w:color w:val="231F20"/>
        </w:rPr>
        <w:t>been unable to agree</w:t>
      </w:r>
      <w:r w:rsidRPr="00300651">
        <w:rPr>
          <w:color w:val="231F20"/>
        </w:rPr>
        <w:t xml:space="preserve"> how to measure and decide whether the economic impact on the claimant has been sufficient to frustrate “distinct investment-backed expectations” (DIBE).  While a mystery to counsel and jurists, the calculation and evaluation is straightforward for financial economists </w:t>
      </w:r>
      <w:r w:rsidRPr="00300651">
        <w:t>with established textbook benchmarks by which to gauge the severity of an economic injury.</w:t>
      </w:r>
    </w:p>
    <w:p w:rsidR="00EC0EBF" w:rsidRDefault="00EC0EBF" w:rsidP="00E910CC">
      <w:pPr>
        <w:pStyle w:val="NormalWeb"/>
        <w:spacing w:before="0" w:beforeAutospacing="0" w:after="0" w:afterAutospacing="0"/>
      </w:pPr>
      <w:r w:rsidRPr="00300651">
        <w:rPr>
          <w:i/>
          <w:color w:val="231F20"/>
        </w:rPr>
        <w:t>Penn Central</w:t>
      </w:r>
      <w:r w:rsidRPr="00300651">
        <w:rPr>
          <w:color w:val="231F20"/>
        </w:rPr>
        <w:t xml:space="preserve"> itself is not the problem.</w:t>
      </w:r>
      <w:r w:rsidRPr="00300651">
        <w:rPr>
          <w:rStyle w:val="FootnoteReference"/>
          <w:color w:val="231F20"/>
          <w:vertAlign w:val="superscript"/>
        </w:rPr>
        <w:footnoteReference w:id="9"/>
      </w:r>
      <w:r w:rsidRPr="00300651">
        <w:rPr>
          <w:color w:val="231F20"/>
        </w:rPr>
        <w:t xml:space="preserve"> The </w:t>
      </w:r>
      <w:r w:rsidRPr="00300651">
        <w:rPr>
          <w:i/>
          <w:color w:val="231F20"/>
        </w:rPr>
        <w:t>Penn Central</w:t>
      </w:r>
      <w:r w:rsidRPr="00300651">
        <w:rPr>
          <w:color w:val="231F20"/>
        </w:rPr>
        <w:t xml:space="preserve"> decision includes language that reveals financial and economic meaning for the notions of economic impact and frustration of DIBE: to wit, “</w:t>
      </w:r>
      <w:r w:rsidRPr="00300651">
        <w:t>the appellants had not shown that they could not earn a reasonable return on their investment in the Terminal itself;  . . .  even if the Terminal proper could never operate at a reasonable profit, . . . ;”</w:t>
      </w:r>
      <w:r w:rsidRPr="00300651">
        <w:rPr>
          <w:rStyle w:val="FootnoteReference"/>
          <w:vertAlign w:val="superscript"/>
        </w:rPr>
        <w:footnoteReference w:id="10"/>
      </w:r>
      <w:r w:rsidRPr="00300651">
        <w:t xml:space="preserve"> “on this record, we must regard the New York City law as permitting </w:t>
      </w:r>
    </w:p>
    <w:p w:rsidR="00EC0EBF" w:rsidRPr="00300651" w:rsidRDefault="00EC0EBF" w:rsidP="00E910CC">
      <w:pPr>
        <w:pStyle w:val="NormalWeb"/>
        <w:spacing w:before="0" w:beforeAutospacing="0" w:after="0" w:afterAutospacing="0"/>
        <w:rPr>
          <w:vertAlign w:val="superscript"/>
        </w:rPr>
      </w:pPr>
      <w:r w:rsidRPr="00300651">
        <w:t>Penn Central not only to profit from the Terminal but also to obtain a "reaso</w:t>
      </w:r>
      <w:r>
        <w:t>nable return" on its investment</w:t>
      </w:r>
      <w:r w:rsidRPr="00300651">
        <w:t>”</w:t>
      </w:r>
      <w:r w:rsidRPr="00300651">
        <w:rPr>
          <w:rStyle w:val="FootnoteReference"/>
          <w:vertAlign w:val="superscript"/>
        </w:rPr>
        <w:footnoteReference w:id="11"/>
      </w:r>
      <w:r>
        <w:t xml:space="preserve"> – phrases throughout the decision that convey economic thought, at least in the mind of the clerk who wrote the part of the decision that established the Penn Central test</w:t>
      </w:r>
      <w:r w:rsidRPr="00D205FA">
        <w:t>.</w:t>
      </w:r>
      <w:r w:rsidRPr="00D205FA">
        <w:rPr>
          <w:rStyle w:val="FootnoteReference"/>
          <w:vertAlign w:val="superscript"/>
        </w:rPr>
        <w:footnoteReference w:id="12"/>
      </w:r>
      <w:r w:rsidRPr="00E11E44">
        <w:rPr>
          <w:vertAlign w:val="superscript"/>
        </w:rPr>
        <w:t xml:space="preserve"> </w:t>
      </w:r>
    </w:p>
    <w:p w:rsidR="00EC0EBF" w:rsidRDefault="00EC0EBF" w:rsidP="00A430F9">
      <w:pPr>
        <w:autoSpaceDE w:val="0"/>
        <w:autoSpaceDN w:val="0"/>
        <w:adjustRightInd w:val="0"/>
      </w:pPr>
    </w:p>
    <w:p w:rsidR="00EC0EBF" w:rsidRDefault="00EC0EBF" w:rsidP="00A430F9">
      <w:pPr>
        <w:autoSpaceDE w:val="0"/>
        <w:autoSpaceDN w:val="0"/>
        <w:adjustRightInd w:val="0"/>
        <w:rPr>
          <w:i/>
        </w:rPr>
      </w:pPr>
      <w:r w:rsidRPr="00300651">
        <w:t xml:space="preserve">Justice Brennan, who penned the </w:t>
      </w:r>
      <w:r w:rsidRPr="00300651">
        <w:rPr>
          <w:i/>
        </w:rPr>
        <w:t>Penn Central</w:t>
      </w:r>
      <w:r w:rsidRPr="00300651">
        <w:t xml:space="preserve"> decision,</w:t>
      </w:r>
      <w:r w:rsidRPr="00300651">
        <w:rPr>
          <w:rStyle w:val="FootnoteReference"/>
          <w:vertAlign w:val="superscript"/>
        </w:rPr>
        <w:footnoteReference w:id="13"/>
      </w:r>
      <w:r w:rsidRPr="00300651">
        <w:t xml:space="preserve"> relied on Professor Frank Michelman’s 1967 Harvard Law Review article,</w:t>
      </w:r>
      <w:r w:rsidRPr="00300651">
        <w:rPr>
          <w:rStyle w:val="FootnoteReference"/>
          <w:vertAlign w:val="superscript"/>
        </w:rPr>
        <w:footnoteReference w:id="14"/>
      </w:r>
      <w:r w:rsidRPr="00300651">
        <w:rPr>
          <w:vertAlign w:val="superscript"/>
        </w:rPr>
        <w:t xml:space="preserve"> </w:t>
      </w:r>
      <w:r w:rsidRPr="00300651">
        <w:t>cited in the opinion,</w:t>
      </w:r>
      <w:r w:rsidRPr="00300651">
        <w:rPr>
          <w:rStyle w:val="FootnoteReference"/>
          <w:vertAlign w:val="superscript"/>
        </w:rPr>
        <w:footnoteReference w:id="15"/>
      </w:r>
      <w:r w:rsidRPr="00300651">
        <w:rPr>
          <w:vertAlign w:val="superscript"/>
        </w:rPr>
        <w:t xml:space="preserve"> </w:t>
      </w:r>
      <w:r w:rsidRPr="00300651">
        <w:t xml:space="preserve">as the basis for the two economic prongs of the </w:t>
      </w:r>
      <w:r w:rsidRPr="00300651">
        <w:rPr>
          <w:i/>
        </w:rPr>
        <w:t>Penn Central</w:t>
      </w:r>
      <w:r w:rsidRPr="00300651">
        <w:t xml:space="preserve"> test.  Michelman argued that the test for whether compensation should be paid depends not on how much value has been destroyed, but “whether or not the measure in question can easily be seen to have practically deprived the claimant of some distinctly perceived, sharply crystallized, investment-backed expectation.”</w:t>
      </w:r>
      <w:r w:rsidRPr="00300651">
        <w:rPr>
          <w:rStyle w:val="FootnoteReference"/>
          <w:vertAlign w:val="superscript"/>
        </w:rPr>
        <w:footnoteReference w:id="16"/>
      </w:r>
      <w:r w:rsidRPr="00300651">
        <w:rPr>
          <w:vertAlign w:val="superscript"/>
        </w:rPr>
        <w:t xml:space="preserve"> </w:t>
      </w:r>
      <w:r>
        <w:rPr>
          <w:vertAlign w:val="superscript"/>
        </w:rPr>
        <w:t xml:space="preserve"> </w:t>
      </w:r>
      <w:r w:rsidRPr="00300651">
        <w:t xml:space="preserve">Michelman created the language in an economic context adopted in </w:t>
      </w:r>
      <w:r w:rsidRPr="00300651">
        <w:rPr>
          <w:i/>
        </w:rPr>
        <w:t xml:space="preserve">Penn Central. </w:t>
      </w:r>
    </w:p>
    <w:p w:rsidR="00EC0EBF" w:rsidRDefault="00EC0EBF" w:rsidP="00E910CC"/>
    <w:p w:rsidR="00EC0EBF" w:rsidRPr="00300651" w:rsidRDefault="00EC0EBF" w:rsidP="00DE4776">
      <w:pPr>
        <w:rPr>
          <w:color w:val="000000"/>
        </w:rPr>
      </w:pPr>
      <w:r w:rsidRPr="00300651">
        <w:t>Given that the Penn Central ceased to exist as a railroad in 1976 and was being operated as Conrail under federal bankruptcy protection, the "reasonable return" conclusion is difficult to understand. The Court's conclusion that Penn Central "not only . . . [profited] from the Terminal but also obtain[ed] a “reasonable return on its investment"</w:t>
      </w:r>
      <w:r w:rsidRPr="00300651">
        <w:rPr>
          <w:rStyle w:val="FootnoteReference"/>
          <w:vertAlign w:val="superscript"/>
        </w:rPr>
        <w:footnoteReference w:id="17"/>
      </w:r>
      <w:r w:rsidRPr="00300651">
        <w:t xml:space="preserve"> was an unrebutted and mistaken </w:t>
      </w:r>
      <w:r w:rsidRPr="00300651">
        <w:rPr>
          <w:szCs w:val="24"/>
        </w:rPr>
        <w:t>assumption by the court.  Grand Central Station was eventually restored at public expense by the New York MTA.</w:t>
      </w:r>
      <w:r>
        <w:rPr>
          <w:szCs w:val="24"/>
        </w:rPr>
        <w:t xml:space="preserve">  </w:t>
      </w:r>
      <w:r w:rsidRPr="00363CA8">
        <w:rPr>
          <w:color w:val="000000"/>
        </w:rPr>
        <w:t xml:space="preserve">The </w:t>
      </w:r>
      <w:r w:rsidRPr="00300651">
        <w:rPr>
          <w:i/>
          <w:color w:val="000000"/>
        </w:rPr>
        <w:t>Penn Central</w:t>
      </w:r>
      <w:r w:rsidRPr="00300651">
        <w:rPr>
          <w:color w:val="000000"/>
        </w:rPr>
        <w:t xml:space="preserve"> decision, based partly on the famous-if-dense Michelman article, distinctly had sound economic standards in mind to evaluate the decision to pay compensation; but that Court mis-analyzed the data and reached the wrong economic conclusion.</w:t>
      </w:r>
    </w:p>
    <w:p w:rsidR="00EC0EBF" w:rsidRDefault="00EC0EBF" w:rsidP="00E910CC">
      <w:pPr>
        <w:widowControl/>
        <w:autoSpaceDE w:val="0"/>
        <w:autoSpaceDN w:val="0"/>
        <w:adjustRightInd w:val="0"/>
        <w:rPr>
          <w:color w:val="000000"/>
          <w:szCs w:val="24"/>
        </w:rPr>
      </w:pPr>
    </w:p>
    <w:p w:rsidR="00EC0EBF" w:rsidRPr="00682B8C" w:rsidRDefault="00EC0EBF" w:rsidP="00E910CC">
      <w:pPr>
        <w:autoSpaceDE w:val="0"/>
        <w:autoSpaceDN w:val="0"/>
        <w:adjustRightInd w:val="0"/>
        <w:ind w:left="720" w:hanging="720"/>
        <w:rPr>
          <w:color w:val="231F20"/>
          <w:szCs w:val="24"/>
        </w:rPr>
      </w:pPr>
      <w:r w:rsidRPr="00682B8C">
        <w:rPr>
          <w:b/>
          <w:color w:val="231F20"/>
          <w:szCs w:val="24"/>
        </w:rPr>
        <w:t>1.1</w:t>
      </w:r>
      <w:r w:rsidRPr="00682B8C">
        <w:rPr>
          <w:b/>
          <w:color w:val="231F20"/>
          <w:szCs w:val="24"/>
        </w:rPr>
        <w:tab/>
        <w:t>The real problems ensued after Penn Central.</w:t>
      </w:r>
    </w:p>
    <w:p w:rsidR="00EC0EBF" w:rsidRDefault="00EC0EBF" w:rsidP="00E910CC">
      <w:pPr>
        <w:pStyle w:val="ListParagraph"/>
        <w:widowControl/>
        <w:autoSpaceDE w:val="0"/>
        <w:autoSpaceDN w:val="0"/>
        <w:adjustRightInd w:val="0"/>
        <w:snapToGrid w:val="0"/>
        <w:ind w:hanging="720"/>
        <w:rPr>
          <w:color w:val="231F20"/>
          <w:szCs w:val="24"/>
        </w:rPr>
      </w:pPr>
      <w:r w:rsidRPr="00300651">
        <w:rPr>
          <w:color w:val="231F20"/>
          <w:szCs w:val="24"/>
        </w:rPr>
        <w:tab/>
      </w:r>
    </w:p>
    <w:p w:rsidR="00EC0EBF" w:rsidRPr="004B5912" w:rsidRDefault="00EC0EBF" w:rsidP="004B5912">
      <w:pPr>
        <w:rPr>
          <w:color w:val="000000"/>
        </w:rPr>
      </w:pPr>
      <w:r w:rsidRPr="004B5912">
        <w:rPr>
          <w:color w:val="000000"/>
        </w:rPr>
        <w:t xml:space="preserve">Subsequent decisions confounded three critical elements from the </w:t>
      </w:r>
      <w:r w:rsidRPr="004B5912">
        <w:rPr>
          <w:i/>
          <w:color w:val="000000"/>
        </w:rPr>
        <w:t>Penn Central</w:t>
      </w:r>
      <w:r>
        <w:rPr>
          <w:color w:val="000000"/>
        </w:rPr>
        <w:t xml:space="preserve"> decision --</w:t>
      </w:r>
      <w:r w:rsidRPr="004B5912">
        <w:rPr>
          <w:color w:val="000000"/>
        </w:rPr>
        <w:t xml:space="preserve"> reasonable economic expectations, the parcel as a whole, and the takings fraction </w:t>
      </w:r>
      <w:r>
        <w:rPr>
          <w:color w:val="000000"/>
        </w:rPr>
        <w:t xml:space="preserve">-- </w:t>
      </w:r>
      <w:r w:rsidRPr="004B5912">
        <w:rPr>
          <w:color w:val="000000"/>
        </w:rPr>
        <w:t xml:space="preserve">in ways that obfuscate standard economic methods.  </w:t>
      </w:r>
      <w:r>
        <w:rPr>
          <w:color w:val="000000"/>
        </w:rPr>
        <w:t xml:space="preserve">Issues related to these three elements from </w:t>
      </w:r>
      <w:r w:rsidRPr="009D2F6D">
        <w:rPr>
          <w:i/>
          <w:color w:val="000000"/>
        </w:rPr>
        <w:t>Penn Central</w:t>
      </w:r>
      <w:r>
        <w:rPr>
          <w:color w:val="000000"/>
        </w:rPr>
        <w:t xml:space="preserve"> are the focus of this article. </w:t>
      </w:r>
    </w:p>
    <w:p w:rsidR="00EC0EBF" w:rsidRDefault="00EC0EBF" w:rsidP="00E910CC">
      <w:pPr>
        <w:pStyle w:val="ListParagraph"/>
        <w:widowControl/>
        <w:autoSpaceDE w:val="0"/>
        <w:autoSpaceDN w:val="0"/>
        <w:adjustRightInd w:val="0"/>
        <w:snapToGrid w:val="0"/>
        <w:ind w:left="0"/>
        <w:rPr>
          <w:szCs w:val="24"/>
        </w:rPr>
      </w:pPr>
    </w:p>
    <w:p w:rsidR="00EC0EBF" w:rsidRPr="00266F2B" w:rsidRDefault="00EC0EBF" w:rsidP="00DE4776">
      <w:pPr>
        <w:autoSpaceDE w:val="0"/>
        <w:autoSpaceDN w:val="0"/>
        <w:adjustRightInd w:val="0"/>
        <w:rPr>
          <w:szCs w:val="24"/>
        </w:rPr>
      </w:pPr>
      <w:r w:rsidRPr="00300651">
        <w:rPr>
          <w:szCs w:val="24"/>
        </w:rPr>
        <w:t>F</w:t>
      </w:r>
      <w:r w:rsidRPr="00300651">
        <w:rPr>
          <w:color w:val="231F20"/>
          <w:szCs w:val="24"/>
        </w:rPr>
        <w:t>or no discernable legal or linguistic purpose, Justice Rehnquist</w:t>
      </w:r>
      <w:r w:rsidRPr="00300651">
        <w:rPr>
          <w:color w:val="231F20"/>
          <w:szCs w:val="24"/>
          <w:vertAlign w:val="superscript"/>
        </w:rPr>
        <w:t xml:space="preserve"> </w:t>
      </w:r>
      <w:r w:rsidRPr="00300651">
        <w:rPr>
          <w:color w:val="231F20"/>
          <w:szCs w:val="24"/>
        </w:rPr>
        <w:t xml:space="preserve">changed “distinct” to “reasonable” the year following </w:t>
      </w:r>
      <w:r w:rsidRPr="00300651">
        <w:rPr>
          <w:i/>
          <w:color w:val="231F20"/>
          <w:szCs w:val="24"/>
        </w:rPr>
        <w:t>Penn Central</w:t>
      </w:r>
      <w:r w:rsidRPr="00300651">
        <w:rPr>
          <w:szCs w:val="24"/>
        </w:rPr>
        <w:t xml:space="preserve"> in </w:t>
      </w:r>
      <w:r w:rsidRPr="00300651">
        <w:rPr>
          <w:i/>
          <w:color w:val="231F20"/>
          <w:szCs w:val="24"/>
        </w:rPr>
        <w:t>Kaiser Aetna v. United States.</w:t>
      </w:r>
      <w:r w:rsidRPr="00300651">
        <w:rPr>
          <w:rStyle w:val="FootnoteReference"/>
          <w:color w:val="231F20"/>
          <w:szCs w:val="24"/>
          <w:vertAlign w:val="superscript"/>
        </w:rPr>
        <w:footnoteReference w:id="18"/>
      </w:r>
      <w:r w:rsidRPr="00300651">
        <w:rPr>
          <w:color w:val="231F20"/>
          <w:szCs w:val="24"/>
        </w:rPr>
        <w:t xml:space="preserve">  This change has confounded</w:t>
      </w:r>
      <w:r>
        <w:rPr>
          <w:color w:val="231F20"/>
          <w:szCs w:val="24"/>
        </w:rPr>
        <w:t xml:space="preserve"> subsequent</w:t>
      </w:r>
      <w:r w:rsidRPr="00300651">
        <w:rPr>
          <w:color w:val="231F20"/>
          <w:szCs w:val="24"/>
        </w:rPr>
        <w:t xml:space="preserve"> courts’ views of reasonable profit expectations with plaintiffs’ reasonable notice of regulatory prohibitions; </w:t>
      </w:r>
      <w:r w:rsidRPr="00300651">
        <w:rPr>
          <w:i/>
          <w:color w:val="231F20"/>
          <w:szCs w:val="24"/>
        </w:rPr>
        <w:t>e.g.,</w:t>
      </w:r>
      <w:r w:rsidRPr="00300651">
        <w:rPr>
          <w:color w:val="231F20"/>
          <w:szCs w:val="24"/>
        </w:rPr>
        <w:t xml:space="preserve"> </w:t>
      </w:r>
      <w:r w:rsidRPr="00300651">
        <w:rPr>
          <w:i/>
          <w:iCs/>
          <w:color w:val="231F20"/>
          <w:szCs w:val="24"/>
        </w:rPr>
        <w:t>Cienega Gardens v. United States</w:t>
      </w:r>
      <w:r w:rsidRPr="00300651">
        <w:rPr>
          <w:iCs/>
          <w:color w:val="231F20"/>
          <w:szCs w:val="24"/>
        </w:rPr>
        <w:t xml:space="preserve">, </w:t>
      </w:r>
      <w:r w:rsidRPr="00300651">
        <w:rPr>
          <w:szCs w:val="24"/>
        </w:rPr>
        <w:t>(“the plaintiffs could not reasonably have expected the change in regulatory approach.”).</w:t>
      </w:r>
      <w:r w:rsidRPr="00300651">
        <w:rPr>
          <w:rStyle w:val="FootnoteReference"/>
          <w:color w:val="231F20"/>
          <w:szCs w:val="24"/>
          <w:vertAlign w:val="superscript"/>
        </w:rPr>
        <w:footnoteReference w:id="19"/>
      </w:r>
      <w:r w:rsidRPr="00300651">
        <w:rPr>
          <w:szCs w:val="24"/>
        </w:rPr>
        <w:t xml:space="preserve">  </w:t>
      </w:r>
      <w:r>
        <w:rPr>
          <w:szCs w:val="24"/>
        </w:rPr>
        <w:t>C</w:t>
      </w:r>
      <w:r w:rsidRPr="00300651">
        <w:rPr>
          <w:szCs w:val="24"/>
        </w:rPr>
        <w:t>onversion of Penn Central’s distinct investment-backed expectations to reasonable notice of rules eviscerates the</w:t>
      </w:r>
      <w:r>
        <w:rPr>
          <w:szCs w:val="24"/>
        </w:rPr>
        <w:t xml:space="preserve"> determinative ability to reveal severity of economic impact.  </w:t>
      </w:r>
      <w:r w:rsidRPr="00266F2B">
        <w:rPr>
          <w:color w:val="231F20"/>
        </w:rPr>
        <w:t xml:space="preserve">Investment-backed expectations, whether “distinct” or “reasonable” </w:t>
      </w:r>
      <w:r>
        <w:rPr>
          <w:color w:val="231F20"/>
        </w:rPr>
        <w:t>m</w:t>
      </w:r>
      <w:r w:rsidRPr="00266F2B">
        <w:rPr>
          <w:color w:val="231F20"/>
        </w:rPr>
        <w:t>ust be shown to be frustrated to establish a regulatory taking; i.e., returns must be demonstrated to erode economic viability of the investment in the whole property after imposition of the unanticipated change in regulations.</w:t>
      </w:r>
      <w:r>
        <w:rPr>
          <w:color w:val="231F20"/>
        </w:rPr>
        <w:t xml:space="preserve"> I discuss this in Section 2.2.</w:t>
      </w:r>
    </w:p>
    <w:p w:rsidR="00EC0EBF" w:rsidRDefault="00EC0EBF" w:rsidP="00E910CC">
      <w:pPr>
        <w:spacing w:after="120"/>
        <w:rPr>
          <w:szCs w:val="24"/>
        </w:rPr>
      </w:pPr>
    </w:p>
    <w:p w:rsidR="00EC0EBF" w:rsidRPr="00300651" w:rsidRDefault="00EC0EBF" w:rsidP="00E910CC">
      <w:pPr>
        <w:spacing w:after="120"/>
        <w:rPr>
          <w:szCs w:val="24"/>
        </w:rPr>
      </w:pPr>
      <w:r w:rsidRPr="00300651">
        <w:rPr>
          <w:szCs w:val="24"/>
        </w:rPr>
        <w:t>Justice Stevens</w:t>
      </w:r>
      <w:r>
        <w:rPr>
          <w:szCs w:val="24"/>
        </w:rPr>
        <w:t>’</w:t>
      </w:r>
      <w:r w:rsidRPr="00300651">
        <w:rPr>
          <w:szCs w:val="24"/>
        </w:rPr>
        <w:t xml:space="preserve"> </w:t>
      </w:r>
      <w:r w:rsidRPr="00300651">
        <w:rPr>
          <w:i/>
          <w:szCs w:val="24"/>
        </w:rPr>
        <w:t>Keystone</w:t>
      </w:r>
      <w:r w:rsidRPr="00300651">
        <w:rPr>
          <w:szCs w:val="24"/>
        </w:rPr>
        <w:t xml:space="preserve"> </w:t>
      </w:r>
      <w:r w:rsidRPr="00300651">
        <w:rPr>
          <w:i/>
          <w:szCs w:val="24"/>
        </w:rPr>
        <w:t xml:space="preserve">Bituminous </w:t>
      </w:r>
      <w:r w:rsidRPr="00300651">
        <w:rPr>
          <w:szCs w:val="24"/>
        </w:rPr>
        <w:t>decision</w:t>
      </w:r>
      <w:r>
        <w:rPr>
          <w:szCs w:val="24"/>
        </w:rPr>
        <w:t xml:space="preserve"> a few years after Penn Central</w:t>
      </w:r>
      <w:r w:rsidRPr="00300651">
        <w:rPr>
          <w:szCs w:val="24"/>
        </w:rPr>
        <w:t xml:space="preserve"> created the notion of a takings fraction to measure and benchmark a takings claim</w:t>
      </w:r>
      <w:r>
        <w:rPr>
          <w:szCs w:val="24"/>
        </w:rPr>
        <w:t xml:space="preserve"> – a good idea but erroneously defined</w:t>
      </w:r>
      <w:r w:rsidRPr="00300651">
        <w:rPr>
          <w:szCs w:val="24"/>
        </w:rPr>
        <w:t xml:space="preserve">.  </w:t>
      </w:r>
    </w:p>
    <w:p w:rsidR="00EC0EBF" w:rsidRPr="00300651" w:rsidRDefault="00EC0EBF" w:rsidP="0039651F">
      <w:pPr>
        <w:spacing w:after="120"/>
        <w:ind w:left="450"/>
        <w:rPr>
          <w:szCs w:val="24"/>
        </w:rPr>
      </w:pPr>
      <w:r w:rsidRPr="00300651">
        <w:rPr>
          <w:szCs w:val="24"/>
        </w:rPr>
        <w:t xml:space="preserve">“Because our test for regulatory taking requires us to </w:t>
      </w:r>
      <w:r w:rsidRPr="00300651">
        <w:rPr>
          <w:i/>
          <w:szCs w:val="24"/>
        </w:rPr>
        <w:t>compare the value that has been taken from the property with the value that remains</w:t>
      </w:r>
      <w:r w:rsidRPr="00300651">
        <w:rPr>
          <w:szCs w:val="24"/>
        </w:rPr>
        <w:t xml:space="preserve"> in the property, the critical question is determining how to define the unit of property whose value is to furnish the denominator of the fraction."</w:t>
      </w:r>
      <w:r w:rsidRPr="00300651">
        <w:rPr>
          <w:rStyle w:val="FootnoteReference"/>
          <w:szCs w:val="24"/>
          <w:vertAlign w:val="superscript"/>
        </w:rPr>
        <w:footnoteReference w:id="20"/>
      </w:r>
      <w:r w:rsidRPr="00300651">
        <w:rPr>
          <w:szCs w:val="24"/>
        </w:rPr>
        <w:t xml:space="preserve">  </w:t>
      </w:r>
    </w:p>
    <w:p w:rsidR="00EC0EBF" w:rsidRDefault="00EC0EBF" w:rsidP="00D205FA">
      <w:pPr>
        <w:rPr>
          <w:szCs w:val="24"/>
        </w:rPr>
      </w:pPr>
      <w:r w:rsidRPr="00300651">
        <w:rPr>
          <w:szCs w:val="24"/>
        </w:rPr>
        <w:t xml:space="preserve">Subsequent courts have adopted the comparison as if it reveals some theoretical insights about severity of economic impact – which it does not – thereby creating huge confusion and </w:t>
      </w:r>
      <w:r>
        <w:rPr>
          <w:szCs w:val="24"/>
        </w:rPr>
        <w:t>millions of words</w:t>
      </w:r>
      <w:r w:rsidRPr="00300651">
        <w:rPr>
          <w:szCs w:val="24"/>
        </w:rPr>
        <w:t xml:space="preserve"> about what percentage loss is enough to justify compensation</w:t>
      </w:r>
      <w:r>
        <w:rPr>
          <w:szCs w:val="24"/>
        </w:rPr>
        <w:t>, when a few financial calculations would be determinative</w:t>
      </w:r>
      <w:r w:rsidRPr="00300651">
        <w:rPr>
          <w:szCs w:val="24"/>
        </w:rPr>
        <w:t>.  Percent diminution unbenchmarked to inv</w:t>
      </w:r>
      <w:r>
        <w:rPr>
          <w:szCs w:val="24"/>
        </w:rPr>
        <w:t>estment does</w:t>
      </w:r>
      <w:r w:rsidRPr="00300651">
        <w:rPr>
          <w:szCs w:val="24"/>
        </w:rPr>
        <w:t xml:space="preserve"> not </w:t>
      </w:r>
      <w:r>
        <w:rPr>
          <w:szCs w:val="24"/>
        </w:rPr>
        <w:t>reveal</w:t>
      </w:r>
      <w:r w:rsidRPr="00300651">
        <w:rPr>
          <w:szCs w:val="24"/>
        </w:rPr>
        <w:t xml:space="preserve"> severity of economic impact</w:t>
      </w:r>
      <w:r>
        <w:rPr>
          <w:szCs w:val="24"/>
        </w:rPr>
        <w:t xml:space="preserve">. </w:t>
      </w:r>
      <w:r w:rsidRPr="00300651">
        <w:rPr>
          <w:szCs w:val="24"/>
        </w:rPr>
        <w:t xml:space="preserve"> I </w:t>
      </w:r>
      <w:r>
        <w:rPr>
          <w:szCs w:val="24"/>
        </w:rPr>
        <w:t>discuss this in Section 2.1.</w:t>
      </w:r>
    </w:p>
    <w:p w:rsidR="00EC0EBF" w:rsidRDefault="00EC0EBF" w:rsidP="00D205FA">
      <w:pPr>
        <w:rPr>
          <w:szCs w:val="24"/>
        </w:rPr>
      </w:pPr>
    </w:p>
    <w:p w:rsidR="00EC0EBF" w:rsidRPr="00300651" w:rsidRDefault="00EC0EBF" w:rsidP="00D205FA">
      <w:pPr>
        <w:spacing w:after="120"/>
        <w:rPr>
          <w:szCs w:val="24"/>
        </w:rPr>
      </w:pPr>
      <w:r w:rsidRPr="00300651">
        <w:rPr>
          <w:szCs w:val="24"/>
        </w:rPr>
        <w:t>Penn Central’s sensible “parcel as a whole” language has created a quagmire of economic confusion.</w:t>
      </w:r>
      <w:r w:rsidRPr="00300651">
        <w:rPr>
          <w:rStyle w:val="FootnoteReference"/>
          <w:szCs w:val="24"/>
          <w:vertAlign w:val="superscript"/>
        </w:rPr>
        <w:footnoteReference w:id="21"/>
      </w:r>
      <w:r w:rsidRPr="00300651">
        <w:rPr>
          <w:szCs w:val="24"/>
        </w:rPr>
        <w:t xml:space="preserve">  Measurement of the parcel as a whole is the root source of the confusion post </w:t>
      </w:r>
      <w:r w:rsidRPr="00300651">
        <w:rPr>
          <w:i/>
          <w:szCs w:val="24"/>
        </w:rPr>
        <w:t>Tahoe Sierra</w:t>
      </w:r>
      <w:r w:rsidRPr="00300651">
        <w:rPr>
          <w:rStyle w:val="FootnoteReference"/>
          <w:i/>
          <w:szCs w:val="24"/>
          <w:vertAlign w:val="superscript"/>
        </w:rPr>
        <w:footnoteReference w:id="22"/>
      </w:r>
      <w:r w:rsidRPr="00300651">
        <w:rPr>
          <w:szCs w:val="24"/>
        </w:rPr>
        <w:t xml:space="preserve"> about evaluation of the economic benchmarks within the Penn Central test for income producing properties. </w:t>
      </w:r>
      <w:r>
        <w:rPr>
          <w:szCs w:val="24"/>
        </w:rPr>
        <w:t xml:space="preserve"> I discuss this in Section 2.3.</w:t>
      </w:r>
    </w:p>
    <w:p w:rsidR="00EC0EBF" w:rsidRDefault="00EC0EBF" w:rsidP="004B0344">
      <w:pPr>
        <w:ind w:left="720" w:hanging="720"/>
        <w:rPr>
          <w:b/>
          <w:sz w:val="28"/>
          <w:szCs w:val="28"/>
        </w:rPr>
      </w:pPr>
    </w:p>
    <w:p w:rsidR="00EC0EBF" w:rsidRDefault="00EC0EBF">
      <w:pPr>
        <w:widowControl/>
        <w:spacing w:after="200" w:line="276" w:lineRule="auto"/>
        <w:rPr>
          <w:b/>
          <w:szCs w:val="24"/>
        </w:rPr>
      </w:pPr>
      <w:r>
        <w:rPr>
          <w:b/>
          <w:szCs w:val="24"/>
        </w:rPr>
        <w:br w:type="page"/>
      </w:r>
    </w:p>
    <w:p w:rsidR="00EC0EBF" w:rsidRPr="00682B8C" w:rsidRDefault="00EC0EBF" w:rsidP="004B0344">
      <w:pPr>
        <w:ind w:left="720" w:hanging="720"/>
        <w:rPr>
          <w:b/>
          <w:szCs w:val="24"/>
        </w:rPr>
      </w:pPr>
      <w:r w:rsidRPr="00682B8C">
        <w:rPr>
          <w:b/>
          <w:szCs w:val="24"/>
        </w:rPr>
        <w:t>2</w:t>
      </w:r>
      <w:r w:rsidRPr="00682B8C">
        <w:rPr>
          <w:b/>
          <w:szCs w:val="24"/>
        </w:rPr>
        <w:tab/>
        <w:t>Federal Circuit and Court of Federal Claims clarified but ultimately confounded the Penn Central Test.</w:t>
      </w:r>
    </w:p>
    <w:p w:rsidR="00EC0EBF" w:rsidRPr="00682B8C" w:rsidRDefault="00EC0EBF" w:rsidP="0039651F">
      <w:pPr>
        <w:autoSpaceDE w:val="0"/>
        <w:autoSpaceDN w:val="0"/>
        <w:adjustRightInd w:val="0"/>
        <w:spacing w:after="120"/>
        <w:rPr>
          <w:szCs w:val="24"/>
        </w:rPr>
      </w:pPr>
    </w:p>
    <w:p w:rsidR="00EC0EBF" w:rsidRPr="00300651" w:rsidRDefault="00EC0EBF" w:rsidP="0039651F">
      <w:pPr>
        <w:autoSpaceDE w:val="0"/>
        <w:autoSpaceDN w:val="0"/>
        <w:adjustRightInd w:val="0"/>
        <w:spacing w:after="120"/>
      </w:pPr>
      <w:r w:rsidRPr="00300651">
        <w:rPr>
          <w:szCs w:val="24"/>
        </w:rPr>
        <w:t>In the absence of guideposts from the Supreme Court to explain its polestar, the</w:t>
      </w:r>
      <w:r w:rsidRPr="00300651">
        <w:t xml:space="preserve"> Federal Claims Court and the Federal Circuit Court, which frequently deal with the factual inquiries within regulatory takings cases, advanced the economic predicates for evaluating the </w:t>
      </w:r>
      <w:r w:rsidRPr="00300651">
        <w:rPr>
          <w:i/>
        </w:rPr>
        <w:t>Penn Central</w:t>
      </w:r>
      <w:r w:rsidRPr="00300651">
        <w:t xml:space="preserve"> factors.  </w:t>
      </w:r>
    </w:p>
    <w:p w:rsidR="00EC0EBF" w:rsidRPr="00300651" w:rsidRDefault="00EC0EBF" w:rsidP="0039651F">
      <w:pPr>
        <w:autoSpaceDE w:val="0"/>
        <w:autoSpaceDN w:val="0"/>
        <w:adjustRightInd w:val="0"/>
        <w:spacing w:after="120"/>
      </w:pPr>
      <w:r w:rsidRPr="00300651">
        <w:t>Two cases had seminal influence on analytic understanding of the economic prongs:</w:t>
      </w:r>
    </w:p>
    <w:p w:rsidR="00EC0EBF" w:rsidRPr="00300651" w:rsidRDefault="00EC0EBF" w:rsidP="0039651F">
      <w:pPr>
        <w:pStyle w:val="ListParagraph"/>
        <w:widowControl/>
        <w:numPr>
          <w:ilvl w:val="0"/>
          <w:numId w:val="8"/>
        </w:numPr>
        <w:autoSpaceDE w:val="0"/>
        <w:autoSpaceDN w:val="0"/>
        <w:adjustRightInd w:val="0"/>
        <w:spacing w:after="120"/>
        <w:ind w:left="810"/>
        <w:rPr>
          <w:bCs/>
          <w:i/>
          <w:iCs/>
        </w:rPr>
      </w:pPr>
      <w:r w:rsidRPr="00300651">
        <w:rPr>
          <w:bCs/>
          <w:i/>
          <w:iCs/>
        </w:rPr>
        <w:t>Florida Rock Industries, Inc. v. United States,</w:t>
      </w:r>
      <w:r w:rsidRPr="00300651">
        <w:rPr>
          <w:rStyle w:val="FootnoteReference"/>
          <w:bCs/>
          <w:i/>
          <w:iCs/>
          <w:vertAlign w:val="superscript"/>
        </w:rPr>
        <w:footnoteReference w:id="23"/>
      </w:r>
      <w:r w:rsidRPr="00300651">
        <w:rPr>
          <w:bCs/>
          <w:i/>
          <w:iCs/>
        </w:rPr>
        <w:t xml:space="preserve"> (</w:t>
      </w:r>
      <w:r>
        <w:rPr>
          <w:bCs/>
          <w:i/>
          <w:iCs/>
        </w:rPr>
        <w:t xml:space="preserve">“Florida </w:t>
      </w:r>
      <w:r w:rsidRPr="00300651">
        <w:rPr>
          <w:bCs/>
          <w:i/>
          <w:iCs/>
        </w:rPr>
        <w:t>Rock V</w:t>
      </w:r>
      <w:r>
        <w:rPr>
          <w:bCs/>
          <w:i/>
          <w:iCs/>
        </w:rPr>
        <w:t>”</w:t>
      </w:r>
      <w:r w:rsidRPr="00300651">
        <w:rPr>
          <w:bCs/>
          <w:i/>
          <w:iCs/>
        </w:rPr>
        <w:t>)</w:t>
      </w:r>
      <w:r w:rsidRPr="00300651">
        <w:rPr>
          <w:bCs/>
        </w:rPr>
        <w:t xml:space="preserve"> </w:t>
      </w:r>
    </w:p>
    <w:p w:rsidR="00EC0EBF" w:rsidRPr="00300651" w:rsidRDefault="00EC0EBF" w:rsidP="0039651F">
      <w:pPr>
        <w:pStyle w:val="ListParagraph"/>
        <w:widowControl/>
        <w:numPr>
          <w:ilvl w:val="0"/>
          <w:numId w:val="8"/>
        </w:numPr>
        <w:autoSpaceDE w:val="0"/>
        <w:autoSpaceDN w:val="0"/>
        <w:adjustRightInd w:val="0"/>
        <w:spacing w:after="120"/>
        <w:ind w:left="810"/>
        <w:rPr>
          <w:bCs/>
        </w:rPr>
      </w:pPr>
      <w:r w:rsidRPr="00300651">
        <w:rPr>
          <w:bCs/>
          <w:i/>
          <w:iCs/>
        </w:rPr>
        <w:t>Cienega Gardens v. United States,</w:t>
      </w:r>
      <w:r w:rsidRPr="00300651">
        <w:rPr>
          <w:rStyle w:val="FootnoteReference"/>
          <w:bCs/>
          <w:i/>
          <w:iCs/>
          <w:vertAlign w:val="superscript"/>
        </w:rPr>
        <w:footnoteReference w:id="24"/>
      </w:r>
      <w:r w:rsidRPr="00300651">
        <w:rPr>
          <w:rStyle w:val="FootnoteReference"/>
          <w:i/>
          <w:iCs/>
          <w:vertAlign w:val="superscript"/>
        </w:rPr>
        <w:t xml:space="preserve"> </w:t>
      </w:r>
      <w:r w:rsidRPr="00300651">
        <w:rPr>
          <w:bCs/>
          <w:i/>
        </w:rPr>
        <w:t>(</w:t>
      </w:r>
      <w:r>
        <w:rPr>
          <w:bCs/>
          <w:i/>
        </w:rPr>
        <w:t>“</w:t>
      </w:r>
      <w:r w:rsidRPr="00300651">
        <w:rPr>
          <w:bCs/>
          <w:i/>
        </w:rPr>
        <w:t>Cienega VIII</w:t>
      </w:r>
      <w:r>
        <w:rPr>
          <w:bCs/>
          <w:i/>
        </w:rPr>
        <w:t>”</w:t>
      </w:r>
      <w:r w:rsidRPr="00300651">
        <w:rPr>
          <w:bCs/>
          <w:i/>
        </w:rPr>
        <w:t>)</w:t>
      </w:r>
      <w:r w:rsidRPr="00300651">
        <w:rPr>
          <w:bCs/>
        </w:rPr>
        <w:t xml:space="preserve"> </w:t>
      </w:r>
    </w:p>
    <w:p w:rsidR="00EC0EBF" w:rsidRPr="00300651" w:rsidRDefault="00EC0EBF" w:rsidP="0039651F">
      <w:pPr>
        <w:autoSpaceDE w:val="0"/>
        <w:autoSpaceDN w:val="0"/>
        <w:adjustRightInd w:val="0"/>
        <w:spacing w:after="120"/>
      </w:pPr>
      <w:r w:rsidRPr="00300651">
        <w:t>These decisions relied on competent economic testimony in their findings.</w:t>
      </w:r>
      <w:r w:rsidRPr="00300651">
        <w:rPr>
          <w:rStyle w:val="FootnoteReference"/>
          <w:vertAlign w:val="superscript"/>
        </w:rPr>
        <w:footnoteReference w:id="25"/>
      </w:r>
      <w:r w:rsidRPr="00300651">
        <w:rPr>
          <w:vertAlign w:val="superscript"/>
        </w:rPr>
        <w:t xml:space="preserve"> </w:t>
      </w:r>
      <w:r>
        <w:t xml:space="preserve"> Plaintiff</w:t>
      </w:r>
      <w:r w:rsidRPr="00300651">
        <w:t xml:space="preserve"> expert witnesses relied on standard financial theories, practices, and used established textbook formulas to evaluate interference with distinct investment-backed expectations.  </w:t>
      </w:r>
    </w:p>
    <w:p w:rsidR="00EC0EBF" w:rsidRPr="00300651" w:rsidRDefault="00EC0EBF" w:rsidP="004B0344">
      <w:pPr>
        <w:autoSpaceDE w:val="0"/>
        <w:autoSpaceDN w:val="0"/>
        <w:adjustRightInd w:val="0"/>
        <w:rPr>
          <w:szCs w:val="24"/>
        </w:rPr>
      </w:pPr>
      <w:r>
        <w:t xml:space="preserve">Then came </w:t>
      </w:r>
      <w:r w:rsidRPr="00300651">
        <w:rPr>
          <w:i/>
        </w:rPr>
        <w:t>Cienega X</w:t>
      </w:r>
      <w:r>
        <w:rPr>
          <w:i/>
        </w:rPr>
        <w:t>,</w:t>
      </w:r>
      <w:r w:rsidRPr="00300651">
        <w:rPr>
          <w:rStyle w:val="FootnoteReference"/>
          <w:i/>
          <w:vertAlign w:val="superscript"/>
        </w:rPr>
        <w:footnoteReference w:id="26"/>
      </w:r>
      <w:r w:rsidRPr="00300651">
        <w:t xml:space="preserve"> </w:t>
      </w:r>
      <w:r>
        <w:t xml:space="preserve">which </w:t>
      </w:r>
      <w:r w:rsidRPr="00300651">
        <w:t xml:space="preserve">repudiated </w:t>
      </w:r>
      <w:r w:rsidRPr="00300651">
        <w:rPr>
          <w:i/>
        </w:rPr>
        <w:t>Cienega VIII</w:t>
      </w:r>
      <w:r>
        <w:rPr>
          <w:i/>
        </w:rPr>
        <w:t xml:space="preserve">, </w:t>
      </w:r>
      <w:r w:rsidRPr="00CE18F4">
        <w:t>overturned</w:t>
      </w:r>
      <w:r>
        <w:rPr>
          <w:i/>
        </w:rPr>
        <w:t xml:space="preserve"> Cienega IX</w:t>
      </w:r>
      <w:r w:rsidRPr="00266F2B">
        <w:rPr>
          <w:rStyle w:val="FootnoteReference"/>
          <w:i/>
          <w:vertAlign w:val="superscript"/>
        </w:rPr>
        <w:footnoteReference w:id="27"/>
      </w:r>
      <w:r w:rsidRPr="00300651">
        <w:t xml:space="preserve"> and</w:t>
      </w:r>
      <w:r w:rsidRPr="00300651">
        <w:rPr>
          <w:i/>
        </w:rPr>
        <w:t xml:space="preserve"> </w:t>
      </w:r>
      <w:r w:rsidRPr="00300651">
        <w:t xml:space="preserve">ignored </w:t>
      </w:r>
      <w:r w:rsidRPr="0039651F">
        <w:rPr>
          <w:i/>
        </w:rPr>
        <w:t>Florida</w:t>
      </w:r>
      <w:r>
        <w:t xml:space="preserve"> </w:t>
      </w:r>
      <w:r w:rsidRPr="00300651">
        <w:rPr>
          <w:i/>
        </w:rPr>
        <w:t xml:space="preserve">Rock V, </w:t>
      </w:r>
      <w:r w:rsidRPr="00300651">
        <w:t xml:space="preserve">relying on presentations by the government.  This decision removed standard economic methods from the evaluation of the two economic prongs of the Penn Central test. </w:t>
      </w:r>
      <w:r w:rsidRPr="00300651">
        <w:tab/>
      </w:r>
    </w:p>
    <w:p w:rsidR="00EC0EBF" w:rsidRDefault="00EC0EBF" w:rsidP="00AD0412">
      <w:pPr>
        <w:spacing w:after="120"/>
        <w:ind w:left="634" w:hanging="634"/>
        <w:rPr>
          <w:b/>
          <w:sz w:val="28"/>
          <w:szCs w:val="28"/>
        </w:rPr>
      </w:pPr>
    </w:p>
    <w:p w:rsidR="00EC0EBF" w:rsidRPr="00682B8C" w:rsidRDefault="00EC0EBF" w:rsidP="004B0344">
      <w:pPr>
        <w:ind w:left="634" w:hanging="634"/>
        <w:rPr>
          <w:b/>
          <w:szCs w:val="24"/>
        </w:rPr>
      </w:pPr>
      <w:r w:rsidRPr="00682B8C">
        <w:rPr>
          <w:b/>
          <w:szCs w:val="24"/>
        </w:rPr>
        <w:t>2.1</w:t>
      </w:r>
      <w:r w:rsidRPr="00682B8C">
        <w:rPr>
          <w:b/>
          <w:i/>
          <w:szCs w:val="24"/>
        </w:rPr>
        <w:tab/>
        <w:t>Florida Rock V</w:t>
      </w:r>
      <w:r w:rsidRPr="00682B8C">
        <w:rPr>
          <w:b/>
          <w:szCs w:val="24"/>
        </w:rPr>
        <w:t xml:space="preserve"> clarified the evaluation of a partial taking.</w:t>
      </w:r>
    </w:p>
    <w:p w:rsidR="00EC0EBF" w:rsidRDefault="00EC0EBF" w:rsidP="0039651F">
      <w:pPr>
        <w:spacing w:after="120"/>
        <w:rPr>
          <w:i/>
          <w:iCs/>
          <w:color w:val="000000"/>
        </w:rPr>
      </w:pPr>
    </w:p>
    <w:p w:rsidR="00EC0EBF" w:rsidRPr="00300651" w:rsidRDefault="00EC0EBF" w:rsidP="0039651F">
      <w:pPr>
        <w:spacing w:after="120"/>
      </w:pPr>
      <w:r w:rsidRPr="00300651">
        <w:rPr>
          <w:i/>
          <w:iCs/>
          <w:color w:val="000000"/>
        </w:rPr>
        <w:t xml:space="preserve">Florida Rock V </w:t>
      </w:r>
      <w:r w:rsidRPr="00300651">
        <w:rPr>
          <w:iCs/>
          <w:color w:val="000000"/>
        </w:rPr>
        <w:t>clarified measurement of and benchmarks for the economic</w:t>
      </w:r>
      <w:r w:rsidRPr="00300651">
        <w:rPr>
          <w:color w:val="000000"/>
        </w:rPr>
        <w:t xml:space="preserve"> elements of the </w:t>
      </w:r>
      <w:r w:rsidRPr="00300651">
        <w:rPr>
          <w:i/>
          <w:iCs/>
          <w:color w:val="000000"/>
        </w:rPr>
        <w:t xml:space="preserve">Penn Central </w:t>
      </w:r>
      <w:r w:rsidRPr="00300651">
        <w:rPr>
          <w:iCs/>
          <w:color w:val="000000"/>
        </w:rPr>
        <w:t>test.</w:t>
      </w:r>
      <w:r w:rsidRPr="00300651">
        <w:rPr>
          <w:color w:val="000000"/>
        </w:rPr>
        <w:t xml:space="preserve">  </w:t>
      </w:r>
      <w:r w:rsidRPr="00300651">
        <w:t>T</w:t>
      </w:r>
      <w:r w:rsidRPr="00300651">
        <w:rPr>
          <w:color w:val="000000"/>
        </w:rPr>
        <w:t>he</w:t>
      </w:r>
      <w:r w:rsidRPr="00300651">
        <w:t xml:space="preserve"> decision </w:t>
      </w:r>
      <w:r>
        <w:t xml:space="preserve">provides mathematical </w:t>
      </w:r>
      <w:r w:rsidRPr="00300651">
        <w:t>answers to two straightforward questions related to a change in the federal regulatory regime that prevented Florida Rock from mining on its property.</w:t>
      </w:r>
    </w:p>
    <w:p w:rsidR="00EC0EBF" w:rsidRPr="00300651" w:rsidRDefault="00EC0EBF" w:rsidP="0039651F">
      <w:pPr>
        <w:widowControl/>
        <w:numPr>
          <w:ilvl w:val="0"/>
          <w:numId w:val="9"/>
        </w:numPr>
        <w:tabs>
          <w:tab w:val="clear" w:pos="1080"/>
        </w:tabs>
        <w:spacing w:after="120"/>
        <w:ind w:left="810"/>
        <w:contextualSpacing/>
      </w:pPr>
      <w:r w:rsidRPr="00300651">
        <w:t xml:space="preserve">Has the value of the property been significantly diminished? </w:t>
      </w:r>
    </w:p>
    <w:p w:rsidR="00EC0EBF" w:rsidRPr="00300651" w:rsidRDefault="00EC0EBF" w:rsidP="0039651F">
      <w:pPr>
        <w:widowControl/>
        <w:numPr>
          <w:ilvl w:val="0"/>
          <w:numId w:val="9"/>
        </w:numPr>
        <w:tabs>
          <w:tab w:val="clear" w:pos="1080"/>
        </w:tabs>
        <w:spacing w:after="120" w:line="360" w:lineRule="auto"/>
        <w:ind w:left="810"/>
        <w:contextualSpacing/>
      </w:pPr>
      <w:r w:rsidRPr="00300651">
        <w:t>Do revenues after regulatory change recoup investment in the property?</w:t>
      </w:r>
      <w:r w:rsidRPr="00300651">
        <w:rPr>
          <w:rStyle w:val="FootnoteReference"/>
          <w:vertAlign w:val="superscript"/>
        </w:rPr>
        <w:footnoteReference w:id="28"/>
      </w:r>
      <w:r w:rsidRPr="00300651">
        <w:rPr>
          <w:vertAlign w:val="superscript"/>
        </w:rPr>
        <w:t xml:space="preserve">  </w:t>
      </w:r>
    </w:p>
    <w:p w:rsidR="00EC0EBF" w:rsidRPr="002A1BE9" w:rsidRDefault="00EC0EBF" w:rsidP="0039651F">
      <w:pPr>
        <w:widowControl/>
        <w:spacing w:after="120" w:line="360" w:lineRule="auto"/>
        <w:ind w:left="630" w:hanging="630"/>
        <w:contextualSpacing/>
        <w:rPr>
          <w:vertAlign w:val="superscript"/>
        </w:rPr>
      </w:pPr>
      <w:r w:rsidRPr="00300651">
        <w:t>Competent</w:t>
      </w:r>
      <w:r w:rsidRPr="00300651">
        <w:rPr>
          <w:vertAlign w:val="superscript"/>
        </w:rPr>
        <w:t xml:space="preserve"> </w:t>
      </w:r>
      <w:r w:rsidRPr="00300651">
        <w:t>economic testimony showed the answers to be “yes” and “no.”</w:t>
      </w:r>
      <w:r w:rsidRPr="002A1BE9">
        <w:rPr>
          <w:rStyle w:val="FootnoteReference"/>
          <w:vertAlign w:val="superscript"/>
        </w:rPr>
        <w:footnoteReference w:id="29"/>
      </w:r>
    </w:p>
    <w:p w:rsidR="00EC0EBF" w:rsidRPr="00300651" w:rsidRDefault="00EC0EBF" w:rsidP="0039651F">
      <w:pPr>
        <w:rPr>
          <w:szCs w:val="24"/>
          <w:vertAlign w:val="superscript"/>
        </w:rPr>
      </w:pPr>
      <w:r w:rsidRPr="00300651">
        <w:rPr>
          <w:i/>
        </w:rPr>
        <w:t xml:space="preserve">Florida Rock V </w:t>
      </w:r>
      <w:r w:rsidRPr="00300651">
        <w:t>established the correct economic basis for the denominator of the Takings Fraction and clarified conditions under which a partial reduction in value (“partial taking” of plaintiff’s property) would justify payment of damages.</w:t>
      </w:r>
    </w:p>
    <w:p w:rsidR="00EC0EBF" w:rsidRDefault="00EC0EBF" w:rsidP="0039651F">
      <w:pPr>
        <w:tabs>
          <w:tab w:val="left" w:pos="-1440"/>
        </w:tabs>
        <w:rPr>
          <w:szCs w:val="24"/>
        </w:rPr>
      </w:pPr>
    </w:p>
    <w:p w:rsidR="00EC0EBF" w:rsidRPr="00300651" w:rsidRDefault="00EC0EBF" w:rsidP="0039651F">
      <w:pPr>
        <w:tabs>
          <w:tab w:val="left" w:pos="-1440"/>
        </w:tabs>
        <w:rPr>
          <w:color w:val="000000"/>
        </w:rPr>
      </w:pPr>
      <w:r>
        <w:rPr>
          <w:szCs w:val="24"/>
        </w:rPr>
        <w:t xml:space="preserve">Chief </w:t>
      </w:r>
      <w:r w:rsidRPr="00300651">
        <w:rPr>
          <w:color w:val="000000"/>
        </w:rPr>
        <w:t xml:space="preserve">Judge Loren Smith recognized in </w:t>
      </w:r>
      <w:r w:rsidRPr="00300651">
        <w:rPr>
          <w:i/>
          <w:color w:val="000000"/>
        </w:rPr>
        <w:t>Florida Rock V</w:t>
      </w:r>
      <w:r w:rsidRPr="00300651">
        <w:rPr>
          <w:color w:val="000000"/>
        </w:rPr>
        <w:t xml:space="preserve"> that change in value of the relevant property is not dispositive of the magnitude of the economic impact; i.e., diminution alone is not enough to reveal whether economic viability has been destroyed.</w:t>
      </w:r>
      <w:r w:rsidRPr="00300651">
        <w:rPr>
          <w:rStyle w:val="FootnoteReference"/>
          <w:color w:val="000000"/>
          <w:vertAlign w:val="superscript"/>
        </w:rPr>
        <w:footnoteReference w:id="30"/>
      </w:r>
      <w:r w:rsidRPr="00300651">
        <w:rPr>
          <w:color w:val="000000"/>
        </w:rPr>
        <w:t xml:space="preserve">  </w:t>
      </w:r>
      <w:r>
        <w:rPr>
          <w:color w:val="000000"/>
        </w:rPr>
        <w:t>Economic viability must</w:t>
      </w:r>
      <w:r w:rsidRPr="00300651">
        <w:rPr>
          <w:color w:val="000000"/>
        </w:rPr>
        <w:t xml:space="preserve"> be measured with reference to returns to investments in order to evaluate standard financial performance measures.</w:t>
      </w:r>
      <w:r>
        <w:rPr>
          <w:color w:val="000000"/>
        </w:rPr>
        <w:t xml:space="preserve"> Evaluation of DIBE is the essential prong of the Penn Central test.</w:t>
      </w:r>
      <w:r w:rsidRPr="001C07E3">
        <w:rPr>
          <w:rStyle w:val="FootnoteReference"/>
          <w:color w:val="000000"/>
          <w:vertAlign w:val="superscript"/>
        </w:rPr>
        <w:footnoteReference w:id="31"/>
      </w:r>
    </w:p>
    <w:p w:rsidR="00EC0EBF" w:rsidRDefault="00EC0EBF" w:rsidP="0039651F">
      <w:pPr>
        <w:autoSpaceDE w:val="0"/>
        <w:autoSpaceDN w:val="0"/>
        <w:adjustRightInd w:val="0"/>
        <w:rPr>
          <w:szCs w:val="24"/>
        </w:rPr>
      </w:pPr>
    </w:p>
    <w:p w:rsidR="00EC0EBF" w:rsidRPr="00300651" w:rsidRDefault="00EC0EBF" w:rsidP="0039651F">
      <w:pPr>
        <w:autoSpaceDE w:val="0"/>
        <w:autoSpaceDN w:val="0"/>
        <w:adjustRightInd w:val="0"/>
        <w:rPr>
          <w:szCs w:val="24"/>
        </w:rPr>
      </w:pPr>
      <w:r w:rsidRPr="00300651">
        <w:rPr>
          <w:i/>
          <w:iCs/>
          <w:szCs w:val="24"/>
        </w:rPr>
        <w:t xml:space="preserve">Florida Rock V </w:t>
      </w:r>
      <w:r w:rsidRPr="00300651">
        <w:rPr>
          <w:szCs w:val="24"/>
        </w:rPr>
        <w:t>established the investment basis in the property as the denominator of the takings fraction and compared returns before and after the change in regulation</w:t>
      </w:r>
      <w:r>
        <w:rPr>
          <w:szCs w:val="24"/>
        </w:rPr>
        <w:t xml:space="preserve"> not to each other but </w:t>
      </w:r>
      <w:r w:rsidRPr="00300651">
        <w:rPr>
          <w:szCs w:val="24"/>
        </w:rPr>
        <w:t>to that investment basis to determine if any “reasonable return” was possible after the change.</w:t>
      </w:r>
      <w:r w:rsidRPr="00300651">
        <w:rPr>
          <w:rStyle w:val="FootnoteReference"/>
          <w:szCs w:val="24"/>
          <w:vertAlign w:val="superscript"/>
        </w:rPr>
        <w:footnoteReference w:id="32"/>
      </w:r>
      <w:r w:rsidRPr="00300651">
        <w:rPr>
          <w:szCs w:val="24"/>
        </w:rPr>
        <w:t xml:space="preserve">  </w:t>
      </w:r>
    </w:p>
    <w:p w:rsidR="00EC0EBF" w:rsidRDefault="00EC0EBF" w:rsidP="0039651F">
      <w:pPr>
        <w:autoSpaceDE w:val="0"/>
        <w:autoSpaceDN w:val="0"/>
        <w:adjustRightInd w:val="0"/>
        <w:rPr>
          <w:szCs w:val="24"/>
        </w:rPr>
      </w:pPr>
    </w:p>
    <w:p w:rsidR="00EC0EBF" w:rsidRPr="00300651" w:rsidRDefault="00EC0EBF" w:rsidP="0039651F">
      <w:pPr>
        <w:autoSpaceDE w:val="0"/>
        <w:autoSpaceDN w:val="0"/>
        <w:adjustRightInd w:val="0"/>
        <w:rPr>
          <w:szCs w:val="24"/>
        </w:rPr>
      </w:pPr>
      <w:r w:rsidRPr="00300651">
        <w:rPr>
          <w:szCs w:val="24"/>
        </w:rPr>
        <w:t xml:space="preserve">This ruling clarified the all important takings fraction to require measurement of the investment in the property as the “value . . . to furnish the denominator of the fraction,” correcting </w:t>
      </w:r>
      <w:r w:rsidRPr="00300651">
        <w:rPr>
          <w:i/>
          <w:iCs/>
          <w:szCs w:val="24"/>
        </w:rPr>
        <w:t>Keystone</w:t>
      </w:r>
      <w:r w:rsidRPr="00300651">
        <w:rPr>
          <w:szCs w:val="24"/>
        </w:rPr>
        <w:t xml:space="preserve">’s misfocus on comparing “after” values to “before” values, a ratio that reveals little  about the effect of regulatory change on economic viability of the investment.  </w:t>
      </w:r>
    </w:p>
    <w:p w:rsidR="00EC0EBF" w:rsidRDefault="00EC0EBF" w:rsidP="0039651F">
      <w:pPr>
        <w:autoSpaceDE w:val="0"/>
        <w:autoSpaceDN w:val="0"/>
        <w:adjustRightInd w:val="0"/>
        <w:rPr>
          <w:szCs w:val="24"/>
        </w:rPr>
      </w:pPr>
    </w:p>
    <w:p w:rsidR="00EC0EBF" w:rsidRPr="00300651" w:rsidRDefault="00EC0EBF" w:rsidP="0039651F">
      <w:pPr>
        <w:autoSpaceDE w:val="0"/>
        <w:autoSpaceDN w:val="0"/>
        <w:adjustRightInd w:val="0"/>
        <w:rPr>
          <w:color w:val="231F20"/>
          <w:szCs w:val="24"/>
        </w:rPr>
      </w:pPr>
      <w:r w:rsidRPr="00300651">
        <w:rPr>
          <w:szCs w:val="24"/>
        </w:rPr>
        <w:t xml:space="preserve">Only by comparing returns before and after to the investment basis in the property can courts evaluate frustration of DIBE with standard financial methods and performance benchmarks—net present value of cash flows or return on investment.  </w:t>
      </w:r>
      <w:r w:rsidRPr="00300651">
        <w:rPr>
          <w:color w:val="231F20"/>
          <w:szCs w:val="24"/>
        </w:rPr>
        <w:t xml:space="preserve">The ratio of returns to investments, discounted with the plaintiff’s opportunity cost of money, reveals both recoupment of investment and demonstrates economic viability—or lack thereof.  This is black-letter economics, the point avoided in </w:t>
      </w:r>
      <w:r w:rsidRPr="00300651">
        <w:rPr>
          <w:i/>
          <w:color w:val="231F20"/>
          <w:szCs w:val="24"/>
        </w:rPr>
        <w:t>Cienega X</w:t>
      </w:r>
      <w:r w:rsidRPr="00300651">
        <w:rPr>
          <w:color w:val="231F20"/>
          <w:szCs w:val="24"/>
        </w:rPr>
        <w:t xml:space="preserve"> and its progeny.</w:t>
      </w:r>
    </w:p>
    <w:p w:rsidR="00EC0EBF" w:rsidRDefault="00EC0EBF" w:rsidP="0039651F">
      <w:pPr>
        <w:tabs>
          <w:tab w:val="left" w:pos="-1440"/>
        </w:tabs>
        <w:ind w:left="720" w:hanging="720"/>
        <w:rPr>
          <w:b/>
          <w:i/>
          <w:sz w:val="28"/>
          <w:szCs w:val="28"/>
        </w:rPr>
      </w:pPr>
    </w:p>
    <w:p w:rsidR="00EC0EBF" w:rsidRPr="00682B8C" w:rsidRDefault="00EC0EBF" w:rsidP="0039651F">
      <w:pPr>
        <w:tabs>
          <w:tab w:val="left" w:pos="-1440"/>
        </w:tabs>
        <w:ind w:left="720" w:hanging="720"/>
        <w:rPr>
          <w:b/>
          <w:szCs w:val="24"/>
        </w:rPr>
      </w:pPr>
      <w:r w:rsidRPr="00B80E64">
        <w:rPr>
          <w:b/>
          <w:szCs w:val="24"/>
        </w:rPr>
        <w:t>2.2</w:t>
      </w:r>
      <w:r w:rsidRPr="00682B8C">
        <w:rPr>
          <w:b/>
          <w:i/>
          <w:szCs w:val="24"/>
        </w:rPr>
        <w:tab/>
        <w:t xml:space="preserve">Cienega VIII </w:t>
      </w:r>
      <w:r w:rsidRPr="00682B8C">
        <w:rPr>
          <w:b/>
          <w:szCs w:val="24"/>
        </w:rPr>
        <w:t xml:space="preserve">applied </w:t>
      </w:r>
      <w:r w:rsidRPr="00682B8C">
        <w:rPr>
          <w:b/>
          <w:i/>
          <w:szCs w:val="24"/>
        </w:rPr>
        <w:t>Rock V’s</w:t>
      </w:r>
      <w:r w:rsidRPr="00682B8C">
        <w:rPr>
          <w:b/>
          <w:szCs w:val="24"/>
        </w:rPr>
        <w:t xml:space="preserve"> logic to temporary takings.</w:t>
      </w:r>
    </w:p>
    <w:p w:rsidR="00EC0EBF" w:rsidRDefault="00EC0EBF" w:rsidP="0039651F">
      <w:pPr>
        <w:pStyle w:val="FootnoteText"/>
        <w:spacing w:after="0"/>
        <w:rPr>
          <w:i/>
          <w:sz w:val="24"/>
          <w:szCs w:val="24"/>
        </w:rPr>
      </w:pPr>
    </w:p>
    <w:p w:rsidR="00EC0EBF" w:rsidRPr="0039651F" w:rsidRDefault="00EC0EBF" w:rsidP="0039651F">
      <w:pPr>
        <w:pStyle w:val="FootnoteText"/>
        <w:spacing w:after="0"/>
        <w:rPr>
          <w:szCs w:val="24"/>
        </w:rPr>
      </w:pPr>
      <w:r w:rsidRPr="0039651F">
        <w:rPr>
          <w:sz w:val="24"/>
          <w:szCs w:val="24"/>
        </w:rPr>
        <w:t xml:space="preserve">A number of federal takings cases heard in the first decade of this century consider the conceptual measurement of economic impact within the Penn Central test for income producing properties.  The issue that first arose in </w:t>
      </w:r>
      <w:r w:rsidRPr="0039651F">
        <w:rPr>
          <w:i/>
          <w:sz w:val="24"/>
          <w:szCs w:val="24"/>
        </w:rPr>
        <w:t>Cienega Gardens VIII</w:t>
      </w:r>
      <w:r w:rsidRPr="0039651F">
        <w:rPr>
          <w:sz w:val="24"/>
          <w:szCs w:val="24"/>
        </w:rPr>
        <w:t xml:space="preserve"> was repeatedly argued throughout the decade: whether evaluation of the severity of economic loss should be based on </w:t>
      </w:r>
      <w:r w:rsidRPr="0039651F">
        <w:rPr>
          <w:sz w:val="24"/>
          <w:szCs w:val="24"/>
          <w:u w:val="single"/>
        </w:rPr>
        <w:t>change in value</w:t>
      </w:r>
      <w:r w:rsidRPr="0039651F">
        <w:rPr>
          <w:sz w:val="24"/>
          <w:szCs w:val="24"/>
        </w:rPr>
        <w:t xml:space="preserve"> of the real property using appraisal methods or evaluation of lost use of the property based on the effect of lost income on </w:t>
      </w:r>
      <w:r w:rsidRPr="0039651F">
        <w:rPr>
          <w:sz w:val="24"/>
          <w:szCs w:val="24"/>
          <w:u w:val="single"/>
        </w:rPr>
        <w:t>return on equity</w:t>
      </w:r>
      <w:r w:rsidRPr="0039651F">
        <w:rPr>
          <w:sz w:val="24"/>
          <w:szCs w:val="24"/>
        </w:rPr>
        <w:t>.</w:t>
      </w:r>
      <w:r w:rsidRPr="0039651F">
        <w:rPr>
          <w:sz w:val="24"/>
          <w:szCs w:val="24"/>
          <w:vertAlign w:val="superscript"/>
        </w:rPr>
        <w:t xml:space="preserve"> </w:t>
      </w:r>
    </w:p>
    <w:p w:rsidR="00EC0EBF" w:rsidRDefault="00EC0EBF" w:rsidP="0039651F">
      <w:pPr>
        <w:tabs>
          <w:tab w:val="left" w:pos="-1440"/>
        </w:tabs>
        <w:ind w:left="720" w:hanging="720"/>
        <w:rPr>
          <w:szCs w:val="24"/>
        </w:rPr>
      </w:pPr>
    </w:p>
    <w:p w:rsidR="00EC0EBF" w:rsidRPr="00300651" w:rsidRDefault="00EC0EBF" w:rsidP="0039651F">
      <w:pPr>
        <w:tabs>
          <w:tab w:val="left" w:pos="-1440"/>
        </w:tabs>
        <w:rPr>
          <w:color w:val="000000"/>
        </w:rPr>
      </w:pPr>
      <w:r>
        <w:rPr>
          <w:i/>
          <w:spacing w:val="-3"/>
        </w:rPr>
        <w:t>C</w:t>
      </w:r>
      <w:r w:rsidRPr="00300651">
        <w:rPr>
          <w:i/>
          <w:spacing w:val="-3"/>
        </w:rPr>
        <w:t>ienega VIII e</w:t>
      </w:r>
      <w:r w:rsidRPr="00300651">
        <w:rPr>
          <w:spacing w:val="-3"/>
        </w:rPr>
        <w:t>xtended</w:t>
      </w:r>
      <w:r w:rsidRPr="00300651">
        <w:rPr>
          <w:i/>
          <w:spacing w:val="-3"/>
        </w:rPr>
        <w:t xml:space="preserve"> Florida Rock V </w:t>
      </w:r>
      <w:r w:rsidRPr="00300651">
        <w:rPr>
          <w:spacing w:val="-3"/>
        </w:rPr>
        <w:t xml:space="preserve">by establishing a benchmark rate of return as the threshold of “serious financial loss.” </w:t>
      </w:r>
      <w:r w:rsidRPr="00300651">
        <w:rPr>
          <w:i/>
          <w:spacing w:val="-3"/>
        </w:rPr>
        <w:t xml:space="preserve"> Cienega VIII</w:t>
      </w:r>
      <w:r w:rsidRPr="00300651">
        <w:rPr>
          <w:spacing w:val="-3"/>
        </w:rPr>
        <w:t xml:space="preserve"> transformed the economic </w:t>
      </w:r>
      <w:r>
        <w:rPr>
          <w:spacing w:val="-3"/>
        </w:rPr>
        <w:t xml:space="preserve">impact </w:t>
      </w:r>
      <w:r w:rsidRPr="00300651">
        <w:rPr>
          <w:spacing w:val="-3"/>
        </w:rPr>
        <w:t xml:space="preserve">prong of the </w:t>
      </w:r>
      <w:r w:rsidRPr="00300651">
        <w:rPr>
          <w:i/>
          <w:spacing w:val="-3"/>
        </w:rPr>
        <w:t>Penn Central</w:t>
      </w:r>
      <w:r w:rsidRPr="00300651">
        <w:rPr>
          <w:spacing w:val="-3"/>
        </w:rPr>
        <w:t xml:space="preserve"> test to a </w:t>
      </w:r>
      <w:r w:rsidRPr="00300651">
        <w:rPr>
          <w:color w:val="000000"/>
        </w:rPr>
        <w:t>threshold requirement.  Plaintiff must “show ‘serious financial loss’ from the regulatory imposition in order to merit compensation.”</w:t>
      </w:r>
      <w:r w:rsidRPr="00300651">
        <w:rPr>
          <w:rStyle w:val="FootnoteReference"/>
          <w:spacing w:val="-3"/>
          <w:vertAlign w:val="superscript"/>
        </w:rPr>
        <w:footnoteReference w:id="33"/>
      </w:r>
      <w:r w:rsidRPr="00300651">
        <w:rPr>
          <w:color w:val="000000"/>
          <w:vertAlign w:val="superscript"/>
        </w:rPr>
        <w:t xml:space="preserve">  </w:t>
      </w:r>
      <w:r w:rsidRPr="00300651">
        <w:rPr>
          <w:color w:val="000000"/>
        </w:rPr>
        <w:t xml:space="preserve">Frustration of economic viability governs “serious financial loss” and the decision to pay compensation.  </w:t>
      </w:r>
    </w:p>
    <w:p w:rsidR="00EC0EBF" w:rsidRDefault="00EC0EBF" w:rsidP="0039651F">
      <w:pPr>
        <w:tabs>
          <w:tab w:val="left" w:pos="-1440"/>
        </w:tabs>
        <w:ind w:left="720" w:hanging="720"/>
        <w:rPr>
          <w:spacing w:val="-3"/>
        </w:rPr>
      </w:pPr>
      <w:r w:rsidRPr="00300651">
        <w:rPr>
          <w:spacing w:val="-3"/>
        </w:rPr>
        <w:tab/>
      </w:r>
    </w:p>
    <w:p w:rsidR="00EC0EBF" w:rsidRPr="00E910CC" w:rsidRDefault="00EC0EBF" w:rsidP="00DE4776">
      <w:pPr>
        <w:widowControl/>
        <w:autoSpaceDE w:val="0"/>
        <w:autoSpaceDN w:val="0"/>
        <w:adjustRightInd w:val="0"/>
        <w:rPr>
          <w:color w:val="000000"/>
          <w:szCs w:val="24"/>
        </w:rPr>
      </w:pPr>
      <w:r w:rsidRPr="00300651">
        <w:rPr>
          <w:bCs/>
          <w:i/>
          <w:iCs/>
        </w:rPr>
        <w:t>Cienega VIII</w:t>
      </w:r>
      <w:r w:rsidRPr="00300651">
        <w:rPr>
          <w:bCs/>
        </w:rPr>
        <w:t xml:space="preserve"> </w:t>
      </w:r>
      <w:r w:rsidRPr="00300651">
        <w:t>established that economic viability be measured with reference to both recoupment of investment and return on investment in order to evaluate a standard financial performance measure.</w:t>
      </w:r>
      <w:r w:rsidRPr="00300651">
        <w:rPr>
          <w:rStyle w:val="FootnoteReference"/>
          <w:vertAlign w:val="superscript"/>
        </w:rPr>
        <w:footnoteReference w:id="34"/>
      </w:r>
      <w:r w:rsidRPr="00300651">
        <w:t xml:space="preserve">  This adopted the opportunity cost of investment -- the hurdle rate of return -- as an attribute of the investment in the property, consistent with economic theory and standard financial practice.  </w:t>
      </w:r>
    </w:p>
    <w:p w:rsidR="00EC0EBF" w:rsidRPr="00300651" w:rsidRDefault="00EC0EBF" w:rsidP="0039651F">
      <w:pPr>
        <w:tabs>
          <w:tab w:val="left" w:pos="-1440"/>
        </w:tabs>
      </w:pPr>
    </w:p>
    <w:p w:rsidR="00EC0EBF" w:rsidRPr="00300651" w:rsidRDefault="00EC0EBF" w:rsidP="0039651F">
      <w:pPr>
        <w:rPr>
          <w:color w:val="000080"/>
          <w:szCs w:val="24"/>
        </w:rPr>
      </w:pPr>
      <w:r w:rsidRPr="00300651">
        <w:rPr>
          <w:szCs w:val="24"/>
        </w:rPr>
        <w:t>Economists speak of the opportunity cost of capital, meaning the return from the next best opportunity foreclosed by the investor’s decision.  Cost of capital is the required return by investors; it is the basis for the discount rate, and is based on the risk of the cash flows and underlying financial market conditions.</w:t>
      </w:r>
      <w:r w:rsidRPr="00300651">
        <w:rPr>
          <w:color w:val="000080"/>
          <w:szCs w:val="24"/>
        </w:rPr>
        <w:t xml:space="preserve"> </w:t>
      </w:r>
    </w:p>
    <w:p w:rsidR="00EC0EBF" w:rsidRDefault="00EC0EBF" w:rsidP="0039651F">
      <w:pPr>
        <w:ind w:left="720" w:hanging="720"/>
        <w:rPr>
          <w:color w:val="000080"/>
          <w:szCs w:val="24"/>
        </w:rPr>
      </w:pPr>
      <w:r w:rsidRPr="00300651">
        <w:rPr>
          <w:color w:val="000080"/>
          <w:szCs w:val="24"/>
        </w:rPr>
        <w:tab/>
      </w:r>
    </w:p>
    <w:p w:rsidR="00EC0EBF" w:rsidRPr="00300651" w:rsidRDefault="00EC0EBF" w:rsidP="0039651F">
      <w:pPr>
        <w:rPr>
          <w:szCs w:val="24"/>
        </w:rPr>
      </w:pPr>
      <w:r w:rsidRPr="00300651">
        <w:rPr>
          <w:szCs w:val="24"/>
        </w:rPr>
        <w:t>John Maynard Keynes defined investment (1936) as the right to obtain a series of prospective returns during the life of the asset.  Keynes emphasized the expected profitability of investments as the key motivating determinant for investment</w:t>
      </w:r>
      <w:r w:rsidRPr="00300651">
        <w:rPr>
          <w:color w:val="000080"/>
          <w:szCs w:val="24"/>
        </w:rPr>
        <w:t>.</w:t>
      </w:r>
      <w:r w:rsidRPr="00300651">
        <w:rPr>
          <w:rStyle w:val="FootnoteReference"/>
          <w:color w:val="000080"/>
          <w:szCs w:val="24"/>
          <w:vertAlign w:val="superscript"/>
        </w:rPr>
        <w:footnoteReference w:id="35"/>
      </w:r>
      <w:r w:rsidRPr="00300651">
        <w:rPr>
          <w:color w:val="000080"/>
          <w:szCs w:val="24"/>
          <w:vertAlign w:val="superscript"/>
        </w:rPr>
        <w:t xml:space="preserve">  </w:t>
      </w:r>
      <w:r w:rsidRPr="00E910CC">
        <w:rPr>
          <w:color w:val="000000"/>
          <w:szCs w:val="24"/>
        </w:rPr>
        <w:t>To the economist, DIBE amount to nothing more complicated than prospective returns reasonably expected as an attribute of property investment.</w:t>
      </w:r>
      <w:r w:rsidRPr="00E910CC">
        <w:rPr>
          <w:szCs w:val="24"/>
        </w:rPr>
        <w:t xml:space="preserve"> </w:t>
      </w:r>
      <w:r>
        <w:rPr>
          <w:szCs w:val="24"/>
        </w:rPr>
        <w:t xml:space="preserve"> </w:t>
      </w:r>
      <w:r w:rsidRPr="00E910CC">
        <w:rPr>
          <w:szCs w:val="24"/>
        </w:rPr>
        <w:t>Taking the income stream from the use of property by an unforeseen change in regulation is not dissimilar from a tort that might have the same effect</w:t>
      </w:r>
      <w:r>
        <w:rPr>
          <w:szCs w:val="24"/>
        </w:rPr>
        <w:t xml:space="preserve"> and should be evaluated by the same economic theories and methods</w:t>
      </w:r>
      <w:r w:rsidRPr="00E910CC">
        <w:rPr>
          <w:szCs w:val="24"/>
        </w:rPr>
        <w:t xml:space="preserve">.  </w:t>
      </w:r>
      <w:r w:rsidRPr="00300651">
        <w:rPr>
          <w:szCs w:val="24"/>
        </w:rPr>
        <w:t xml:space="preserve">The government has persistently </w:t>
      </w:r>
      <w:r>
        <w:rPr>
          <w:szCs w:val="24"/>
        </w:rPr>
        <w:t>failed to acknowledge</w:t>
      </w:r>
      <w:r w:rsidRPr="00300651">
        <w:rPr>
          <w:szCs w:val="24"/>
        </w:rPr>
        <w:t xml:space="preserve"> that the cash flow from investments in income-producing properties is the essential stick in the bundle of rights. </w:t>
      </w:r>
    </w:p>
    <w:p w:rsidR="00EC0EBF" w:rsidRDefault="00EC0EBF" w:rsidP="0039651F">
      <w:pPr>
        <w:ind w:left="720" w:hanging="720"/>
        <w:rPr>
          <w:color w:val="231F20"/>
        </w:rPr>
      </w:pPr>
      <w:r w:rsidRPr="00300651">
        <w:rPr>
          <w:color w:val="231F20"/>
        </w:rPr>
        <w:tab/>
      </w:r>
    </w:p>
    <w:p w:rsidR="00EC0EBF" w:rsidRDefault="00EC0EBF" w:rsidP="0039651F">
      <w:pPr>
        <w:rPr>
          <w:color w:val="231F20"/>
        </w:rPr>
      </w:pPr>
      <w:r w:rsidRPr="00300651">
        <w:rPr>
          <w:i/>
          <w:iCs/>
          <w:szCs w:val="24"/>
        </w:rPr>
        <w:t xml:space="preserve">Cienega VIII </w:t>
      </w:r>
      <w:r w:rsidRPr="00300651">
        <w:rPr>
          <w:szCs w:val="24"/>
        </w:rPr>
        <w:t xml:space="preserve">conformed case law to match economic practice: when the return on investment is less than the opportunity cost of the owners’ investment, economic viability is frustrated.  </w:t>
      </w:r>
      <w:r w:rsidRPr="00300651">
        <w:rPr>
          <w:color w:val="231F20"/>
        </w:rPr>
        <w:t>Economic decision rules play an obvious role in determining when a regulation undermines investment-backed expectations sufficiently to award compensation; i.e., when the regulation “goes [so] far” that it crosses a relevant threshold.</w:t>
      </w:r>
      <w:r w:rsidRPr="00300651">
        <w:rPr>
          <w:rStyle w:val="FootnoteReference"/>
          <w:color w:val="231F20"/>
          <w:vertAlign w:val="superscript"/>
        </w:rPr>
        <w:footnoteReference w:id="36"/>
      </w:r>
    </w:p>
    <w:p w:rsidR="00EC0EBF" w:rsidRPr="00300651" w:rsidRDefault="00EC0EBF" w:rsidP="0039651F">
      <w:pPr>
        <w:rPr>
          <w:color w:val="231F20"/>
        </w:rPr>
      </w:pPr>
    </w:p>
    <w:p w:rsidR="00EC0EBF" w:rsidRPr="00300651" w:rsidRDefault="00EC0EBF" w:rsidP="0039651F">
      <w:pPr>
        <w:pStyle w:val="ListParagraph"/>
        <w:numPr>
          <w:ilvl w:val="0"/>
          <w:numId w:val="14"/>
        </w:numPr>
        <w:autoSpaceDE w:val="0"/>
        <w:autoSpaceDN w:val="0"/>
        <w:adjustRightInd w:val="0"/>
        <w:spacing w:after="120"/>
        <w:ind w:left="993" w:hanging="446"/>
        <w:contextualSpacing w:val="0"/>
        <w:rPr>
          <w:i/>
          <w:color w:val="231F20"/>
          <w:vertAlign w:val="superscript"/>
        </w:rPr>
      </w:pPr>
      <w:r>
        <w:t xml:space="preserve">Cash flow </w:t>
      </w:r>
      <w:r w:rsidRPr="00300651">
        <w:t xml:space="preserve">returns benchmarked to owner’s equity and the opportunity cost of capital replaces percent diminution in value as the determinative </w:t>
      </w:r>
      <w:r w:rsidRPr="00300651">
        <w:rPr>
          <w:i/>
        </w:rPr>
        <w:t xml:space="preserve">Penn Central economic </w:t>
      </w:r>
      <w:r w:rsidRPr="00300651">
        <w:t>prong.</w:t>
      </w:r>
    </w:p>
    <w:p w:rsidR="00EC0EBF" w:rsidRPr="0002693E" w:rsidRDefault="00EC0EBF" w:rsidP="0039651F">
      <w:pPr>
        <w:pStyle w:val="ListParagraph"/>
        <w:numPr>
          <w:ilvl w:val="0"/>
          <w:numId w:val="14"/>
        </w:numPr>
        <w:autoSpaceDE w:val="0"/>
        <w:autoSpaceDN w:val="0"/>
        <w:adjustRightInd w:val="0"/>
        <w:spacing w:after="120"/>
        <w:ind w:left="993" w:hanging="446"/>
        <w:contextualSpacing w:val="0"/>
        <w:rPr>
          <w:i/>
          <w:color w:val="231F20"/>
          <w:vertAlign w:val="superscript"/>
        </w:rPr>
      </w:pPr>
      <w:r w:rsidRPr="00300651">
        <w:t xml:space="preserve">If returns after the regulatory proscription on plaintiff’s use of the property are less than opportunity cost, economic viability is eliminated. </w:t>
      </w:r>
    </w:p>
    <w:p w:rsidR="00EC0EBF" w:rsidRPr="00300651" w:rsidRDefault="00EC0EBF" w:rsidP="0039651F">
      <w:pPr>
        <w:pStyle w:val="ListParagraph"/>
        <w:numPr>
          <w:ilvl w:val="0"/>
          <w:numId w:val="14"/>
        </w:numPr>
        <w:autoSpaceDE w:val="0"/>
        <w:autoSpaceDN w:val="0"/>
        <w:adjustRightInd w:val="0"/>
        <w:ind w:left="993" w:hanging="446"/>
        <w:rPr>
          <w:i/>
          <w:color w:val="231F20"/>
          <w:vertAlign w:val="superscript"/>
        </w:rPr>
      </w:pPr>
      <w:r>
        <w:t xml:space="preserve">This is a binary rule in economic practice: either returns after the taking exceed the opportunity cost or they do not.  Calculation of percent diminution of return is without theoretical economic content.  </w:t>
      </w:r>
      <w:r w:rsidRPr="00890F85">
        <w:rPr>
          <w:i/>
        </w:rPr>
        <w:t>Cienega VIII</w:t>
      </w:r>
      <w:r>
        <w:t xml:space="preserve"> did this; but it was superfluous and recognized as such by Judge Michel.</w:t>
      </w:r>
      <w:r w:rsidRPr="00BF2EB4">
        <w:rPr>
          <w:rStyle w:val="FootnoteReference"/>
          <w:vertAlign w:val="superscript"/>
        </w:rPr>
        <w:footnoteReference w:id="37"/>
      </w:r>
    </w:p>
    <w:p w:rsidR="00EC0EBF" w:rsidRDefault="00EC0EBF" w:rsidP="0039651F">
      <w:pPr>
        <w:pStyle w:val="ListParagraph"/>
        <w:widowControl/>
        <w:ind w:left="0"/>
      </w:pPr>
    </w:p>
    <w:p w:rsidR="00EC0EBF" w:rsidRPr="00300651" w:rsidRDefault="00EC0EBF" w:rsidP="0039651F">
      <w:pPr>
        <w:pStyle w:val="ListParagraph"/>
        <w:widowControl/>
        <w:ind w:left="0"/>
      </w:pPr>
      <w:r w:rsidRPr="00300651">
        <w:t xml:space="preserve">The government argued in this and subsequent lost income cases that the before-and-after appraisal of fair market value (FMV) of real property best measures loss incurred by the plaintiffs and is the correct approach to evaluate the economic impact prong of the </w:t>
      </w:r>
      <w:r w:rsidRPr="00300651">
        <w:rPr>
          <w:i/>
        </w:rPr>
        <w:t>Penn Central</w:t>
      </w:r>
      <w:r w:rsidRPr="00300651">
        <w:t xml:space="preserve"> test.  Both </w:t>
      </w:r>
      <w:r w:rsidRPr="00300651">
        <w:rPr>
          <w:i/>
        </w:rPr>
        <w:t>Cienega VIII</w:t>
      </w:r>
      <w:r w:rsidRPr="00300651">
        <w:t xml:space="preserve"> and the follow-on 2005 decision of the Court of Federal Claims in </w:t>
      </w:r>
      <w:r w:rsidRPr="00300651">
        <w:rPr>
          <w:i/>
          <w:iCs/>
        </w:rPr>
        <w:t xml:space="preserve">Cienega IX </w:t>
      </w:r>
      <w:r w:rsidRPr="00300651">
        <w:t>disabused the government that “the return-on-equity approach best measures the impact of [lost income during the taking] on the plaintiffs.  Measuring an owner’s return on equity better demonstrates the economic impact [of] temporary takings of income-generating property than a measurement of the change in fair market value.”</w:t>
      </w:r>
      <w:r w:rsidRPr="00300651">
        <w:rPr>
          <w:rStyle w:val="FootnoteReference"/>
          <w:vertAlign w:val="superscript"/>
        </w:rPr>
        <w:footnoteReference w:id="38"/>
      </w:r>
    </w:p>
    <w:p w:rsidR="00EC0EBF" w:rsidRDefault="00EC0EBF" w:rsidP="0039651F">
      <w:pPr>
        <w:pStyle w:val="Default"/>
        <w:spacing w:after="120"/>
        <w:rPr>
          <w:rFonts w:ascii="Times New Roman" w:hAnsi="Times New Roman" w:cs="Times New Roman"/>
          <w:i/>
        </w:rPr>
      </w:pPr>
    </w:p>
    <w:p w:rsidR="00EC0EBF" w:rsidRDefault="00EC0EBF" w:rsidP="004B0344">
      <w:pPr>
        <w:pStyle w:val="Default"/>
        <w:rPr>
          <w:rFonts w:ascii="Times New Roman" w:hAnsi="Times New Roman" w:cs="Times New Roman"/>
        </w:rPr>
      </w:pPr>
      <w:r w:rsidRPr="00300651">
        <w:rPr>
          <w:rFonts w:ascii="Times New Roman" w:hAnsi="Times New Roman" w:cs="Times New Roman"/>
          <w:i/>
        </w:rPr>
        <w:t>Florida Rock V</w:t>
      </w:r>
      <w:r w:rsidRPr="00300651">
        <w:rPr>
          <w:rFonts w:ascii="Times New Roman" w:hAnsi="Times New Roman" w:cs="Times New Roman"/>
        </w:rPr>
        <w:t xml:space="preserve"> and </w:t>
      </w:r>
      <w:r w:rsidRPr="00300651">
        <w:rPr>
          <w:rFonts w:ascii="Times New Roman" w:hAnsi="Times New Roman" w:cs="Times New Roman"/>
          <w:i/>
        </w:rPr>
        <w:t>Cienega VIII</w:t>
      </w:r>
      <w:r>
        <w:rPr>
          <w:rFonts w:ascii="Times New Roman" w:hAnsi="Times New Roman" w:cs="Times New Roman"/>
          <w:i/>
        </w:rPr>
        <w:t xml:space="preserve"> </w:t>
      </w:r>
      <w:r w:rsidRPr="00DE4776">
        <w:rPr>
          <w:rFonts w:ascii="Times New Roman" w:hAnsi="Times New Roman" w:cs="Times New Roman"/>
        </w:rPr>
        <w:t>are seminal decisions that</w:t>
      </w:r>
      <w:r w:rsidRPr="00300651">
        <w:rPr>
          <w:rFonts w:ascii="Times New Roman" w:hAnsi="Times New Roman" w:cs="Times New Roman"/>
        </w:rPr>
        <w:t xml:space="preserve"> clarified how to apply, measure, and evaluate the economic elements of the</w:t>
      </w:r>
      <w:r w:rsidRPr="00300651">
        <w:rPr>
          <w:rFonts w:ascii="Times New Roman" w:hAnsi="Times New Roman" w:cs="Times New Roman"/>
          <w:i/>
        </w:rPr>
        <w:t xml:space="preserve"> Penn Central</w:t>
      </w:r>
      <w:r w:rsidRPr="00300651">
        <w:rPr>
          <w:rFonts w:ascii="Times New Roman" w:hAnsi="Times New Roman" w:cs="Times New Roman"/>
        </w:rPr>
        <w:t xml:space="preserve"> test to determine when a compensable taking has occurred.  These cases adopted standard economic methods to determine when the economic impact to a claimant sufficiently erodes DIBE to justify compensation.  </w:t>
      </w:r>
      <w:r>
        <w:rPr>
          <w:rFonts w:ascii="Times New Roman" w:hAnsi="Times New Roman" w:cs="Times New Roman"/>
        </w:rPr>
        <w:t xml:space="preserve">Then </w:t>
      </w:r>
      <w:r w:rsidRPr="00DE4776">
        <w:rPr>
          <w:rFonts w:ascii="Times New Roman" w:hAnsi="Times New Roman" w:cs="Times New Roman"/>
        </w:rPr>
        <w:t>came</w:t>
      </w:r>
      <w:r w:rsidRPr="00BF2EB4">
        <w:rPr>
          <w:rFonts w:ascii="Times New Roman" w:hAnsi="Times New Roman" w:cs="Times New Roman"/>
          <w:i/>
        </w:rPr>
        <w:t xml:space="preserve"> Cienega X.</w:t>
      </w:r>
    </w:p>
    <w:p w:rsidR="00EC0EBF" w:rsidRDefault="00EC0EBF" w:rsidP="004B0344">
      <w:pPr>
        <w:pStyle w:val="Default"/>
        <w:ind w:left="720" w:hanging="720"/>
        <w:rPr>
          <w:rFonts w:ascii="Times New Roman" w:hAnsi="Times New Roman" w:cs="Times New Roman"/>
          <w:b/>
          <w:i/>
          <w:sz w:val="28"/>
          <w:szCs w:val="28"/>
        </w:rPr>
      </w:pPr>
    </w:p>
    <w:p w:rsidR="00EC0EBF" w:rsidRPr="00682B8C" w:rsidRDefault="00EC0EBF" w:rsidP="004B0344">
      <w:pPr>
        <w:pStyle w:val="Default"/>
        <w:ind w:left="720" w:hanging="720"/>
        <w:rPr>
          <w:rFonts w:ascii="Times New Roman" w:hAnsi="Times New Roman" w:cs="Times New Roman"/>
        </w:rPr>
      </w:pPr>
      <w:r w:rsidRPr="00B80E64">
        <w:rPr>
          <w:rFonts w:ascii="Times New Roman" w:hAnsi="Times New Roman" w:cs="Times New Roman"/>
          <w:b/>
        </w:rPr>
        <w:t>2.3</w:t>
      </w:r>
      <w:r w:rsidRPr="00682B8C">
        <w:rPr>
          <w:rFonts w:ascii="Times New Roman" w:hAnsi="Times New Roman" w:cs="Times New Roman"/>
          <w:b/>
          <w:i/>
        </w:rPr>
        <w:tab/>
        <w:t>Cienega X</w:t>
      </w:r>
      <w:r w:rsidRPr="00682B8C">
        <w:rPr>
          <w:rFonts w:ascii="Times New Roman" w:hAnsi="Times New Roman" w:cs="Times New Roman"/>
          <w:b/>
        </w:rPr>
        <w:t xml:space="preserve"> is a radical back-step in the understanding of Penn Central’s economic prongs for income producing properties.</w:t>
      </w:r>
      <w:r w:rsidRPr="00682B8C">
        <w:rPr>
          <w:rStyle w:val="FootnoteReference"/>
          <w:rFonts w:ascii="Times New Roman" w:hAnsi="Times New Roman"/>
          <w:b/>
          <w:vertAlign w:val="superscript"/>
        </w:rPr>
        <w:footnoteReference w:id="39"/>
      </w:r>
    </w:p>
    <w:p w:rsidR="00EC0EBF" w:rsidRPr="00682B8C" w:rsidRDefault="00EC0EBF" w:rsidP="0039651F">
      <w:pPr>
        <w:pStyle w:val="Default"/>
        <w:spacing w:after="120"/>
        <w:rPr>
          <w:rFonts w:ascii="Times New Roman" w:hAnsi="Times New Roman" w:cs="Times New Roman"/>
        </w:rPr>
      </w:pPr>
    </w:p>
    <w:p w:rsidR="00EC0EBF" w:rsidRDefault="00EC0EBF" w:rsidP="00BF2EB4">
      <w:pPr>
        <w:autoSpaceDE w:val="0"/>
        <w:autoSpaceDN w:val="0"/>
        <w:adjustRightInd w:val="0"/>
      </w:pPr>
      <w:r w:rsidRPr="00300651">
        <w:t>The 2007</w:t>
      </w:r>
      <w:r w:rsidRPr="00300651">
        <w:rPr>
          <w:i/>
        </w:rPr>
        <w:t xml:space="preserve"> Cienega X</w:t>
      </w:r>
      <w:r w:rsidRPr="00300651">
        <w:t xml:space="preserve"> decision held</w:t>
      </w:r>
      <w:r w:rsidRPr="00300651">
        <w:rPr>
          <w:i/>
        </w:rPr>
        <w:t xml:space="preserve"> </w:t>
      </w:r>
      <w:r w:rsidRPr="00300651">
        <w:t xml:space="preserve">that the Court of Federal Claims in </w:t>
      </w:r>
      <w:r w:rsidRPr="00300651">
        <w:rPr>
          <w:i/>
        </w:rPr>
        <w:t>Cienega IX</w:t>
      </w:r>
      <w:r w:rsidRPr="00300651">
        <w:t xml:space="preserve"> erred by not considering the impact of the regulatory restriction on the property as a whole.  Instead, “the Court of Federal Claims applied a ‘return-on-equity’ approach, considering the income from the project for each individual year as a separate property interest.”</w:t>
      </w:r>
      <w:r w:rsidRPr="00300651">
        <w:rPr>
          <w:rStyle w:val="FootnoteReference"/>
          <w:vertAlign w:val="superscript"/>
        </w:rPr>
        <w:footnoteReference w:id="40"/>
      </w:r>
      <w:r>
        <w:t xml:space="preserve">  </w:t>
      </w:r>
      <w:r w:rsidRPr="00890F85">
        <w:rPr>
          <w:szCs w:val="24"/>
        </w:rPr>
        <w:t xml:space="preserve">The 2007 decision revisited the thought-settled question -- whether valuation of the lost income from use of the plaintiff’s property or valuation of the change in real property value is the more appropriate measure of the Penn Central test in light of </w:t>
      </w:r>
      <w:r w:rsidRPr="00890F85">
        <w:rPr>
          <w:i/>
          <w:szCs w:val="24"/>
        </w:rPr>
        <w:t xml:space="preserve">Tahoe-Sierra’s </w:t>
      </w:r>
      <w:r w:rsidRPr="00890F85">
        <w:rPr>
          <w:szCs w:val="24"/>
        </w:rPr>
        <w:t>parcel as a temporal whole.</w:t>
      </w:r>
      <w:r>
        <w:rPr>
          <w:szCs w:val="24"/>
        </w:rPr>
        <w:t xml:space="preserve">  </w:t>
      </w:r>
      <w:r w:rsidRPr="00300651">
        <w:rPr>
          <w:i/>
        </w:rPr>
        <w:t>Cienega X</w:t>
      </w:r>
      <w:r w:rsidRPr="00300651">
        <w:t xml:space="preserve"> repudiated</w:t>
      </w:r>
      <w:r>
        <w:t xml:space="preserve"> return on equity,</w:t>
      </w:r>
      <w:r w:rsidRPr="00300651">
        <w:t xml:space="preserve"> the standard approach to measure the economic</w:t>
      </w:r>
      <w:r>
        <w:t xml:space="preserve"> viability of a company,</w:t>
      </w:r>
      <w:r w:rsidRPr="005F1AB4">
        <w:rPr>
          <w:rStyle w:val="FootnoteReference"/>
          <w:vertAlign w:val="superscript"/>
        </w:rPr>
        <w:footnoteReference w:id="41"/>
      </w:r>
      <w:r>
        <w:t xml:space="preserve"> or economic</w:t>
      </w:r>
      <w:r w:rsidRPr="00300651">
        <w:t xml:space="preserve"> impact f</w:t>
      </w:r>
      <w:r>
        <w:t>or</w:t>
      </w:r>
      <w:r w:rsidRPr="00300651">
        <w:t xml:space="preserve"> a regulatory taking for income producing property</w:t>
      </w:r>
      <w:r>
        <w:t xml:space="preserve"> that was</w:t>
      </w:r>
      <w:r w:rsidRPr="00300651">
        <w:t xml:space="preserve"> adopted in Federal Circuit’s 2003 </w:t>
      </w:r>
      <w:r w:rsidRPr="00300651">
        <w:rPr>
          <w:i/>
        </w:rPr>
        <w:t>Cienega VIII</w:t>
      </w:r>
      <w:r w:rsidRPr="00300651">
        <w:t xml:space="preserve"> decision. </w:t>
      </w:r>
      <w:r>
        <w:t xml:space="preserve"> </w:t>
      </w:r>
    </w:p>
    <w:p w:rsidR="00EC0EBF" w:rsidRDefault="00EC0EBF" w:rsidP="00BF2EB4">
      <w:pPr>
        <w:autoSpaceDE w:val="0"/>
        <w:autoSpaceDN w:val="0"/>
        <w:adjustRightInd w:val="0"/>
      </w:pPr>
    </w:p>
    <w:p w:rsidR="00EC0EBF" w:rsidRDefault="00EC0EBF" w:rsidP="00F9105B">
      <w:pPr>
        <w:autoSpaceDE w:val="0"/>
        <w:autoSpaceDN w:val="0"/>
        <w:adjustRightInd w:val="0"/>
        <w:rPr>
          <w:szCs w:val="24"/>
        </w:rPr>
      </w:pPr>
      <w:r w:rsidRPr="00890F85">
        <w:rPr>
          <w:i/>
          <w:szCs w:val="24"/>
        </w:rPr>
        <w:t>Cienega X</w:t>
      </w:r>
      <w:r w:rsidRPr="00890F85">
        <w:rPr>
          <w:szCs w:val="24"/>
        </w:rPr>
        <w:t xml:space="preserve"> invoked </w:t>
      </w:r>
      <w:r w:rsidRPr="00890F85">
        <w:rPr>
          <w:i/>
          <w:szCs w:val="24"/>
        </w:rPr>
        <w:t xml:space="preserve">Tahoe-Sierra’s </w:t>
      </w:r>
      <w:r w:rsidRPr="00890F85">
        <w:rPr>
          <w:szCs w:val="24"/>
        </w:rPr>
        <w:t>enlargement of property as a physical whole to encompass temporal segmentation of income,</w:t>
      </w:r>
      <w:r w:rsidRPr="00890F85">
        <w:rPr>
          <w:rStyle w:val="FootnoteReference"/>
          <w:szCs w:val="24"/>
          <w:vertAlign w:val="superscript"/>
        </w:rPr>
        <w:footnoteReference w:id="42"/>
      </w:r>
      <w:r w:rsidRPr="00890F85">
        <w:rPr>
          <w:szCs w:val="24"/>
        </w:rPr>
        <w:t xml:space="preserve"> adopting the government’s persistent argument that return on equity does not encompass the value of the real estate.  The panel decided that “the impact on the value of the property as a whole is an important consideration [in a temporary taking], just as it is in the context of a permanent regulatory taking.”</w:t>
      </w:r>
      <w:r w:rsidRPr="00890F85">
        <w:rPr>
          <w:rStyle w:val="FootnoteReference"/>
          <w:szCs w:val="24"/>
          <w:vertAlign w:val="superscript"/>
        </w:rPr>
        <w:footnoteReference w:id="43"/>
      </w:r>
      <w:r w:rsidRPr="00890F85">
        <w:rPr>
          <w:szCs w:val="24"/>
        </w:rPr>
        <w:t xml:space="preserve">   </w:t>
      </w:r>
    </w:p>
    <w:p w:rsidR="00EC0EBF" w:rsidRDefault="00EC0EBF" w:rsidP="00F9105B">
      <w:pPr>
        <w:pStyle w:val="FootnoteText"/>
        <w:rPr>
          <w:sz w:val="24"/>
          <w:szCs w:val="24"/>
        </w:rPr>
      </w:pPr>
    </w:p>
    <w:p w:rsidR="00EC0EBF" w:rsidRPr="0039651F" w:rsidRDefault="00EC0EBF" w:rsidP="00F9105B">
      <w:pPr>
        <w:pStyle w:val="FootnoteText"/>
        <w:rPr>
          <w:sz w:val="24"/>
          <w:szCs w:val="24"/>
        </w:rPr>
      </w:pPr>
      <w:r w:rsidRPr="0039651F">
        <w:rPr>
          <w:sz w:val="24"/>
          <w:szCs w:val="24"/>
        </w:rPr>
        <w:t>Keep in mind the salient factual economic differences between Tahoe Sierra and Cienega Gardens plaintiffs :</w:t>
      </w:r>
    </w:p>
    <w:p w:rsidR="00EC0EBF" w:rsidRPr="0039651F" w:rsidRDefault="00EC0EBF" w:rsidP="00F9105B">
      <w:pPr>
        <w:pStyle w:val="FootnoteText"/>
        <w:numPr>
          <w:ilvl w:val="0"/>
          <w:numId w:val="40"/>
        </w:numPr>
        <w:autoSpaceDE w:val="0"/>
        <w:autoSpaceDN w:val="0"/>
        <w:adjustRightInd w:val="0"/>
        <w:ind w:left="720"/>
        <w:rPr>
          <w:sz w:val="24"/>
          <w:szCs w:val="24"/>
        </w:rPr>
      </w:pPr>
      <w:r w:rsidRPr="0039651F">
        <w:rPr>
          <w:i/>
          <w:sz w:val="24"/>
          <w:szCs w:val="24"/>
        </w:rPr>
        <w:t>Tahoe Sierra</w:t>
      </w:r>
      <w:r w:rsidRPr="0039651F">
        <w:rPr>
          <w:sz w:val="24"/>
          <w:szCs w:val="24"/>
        </w:rPr>
        <w:t xml:space="preserve"> was about a 32-month moratorium on potential development of residential housing in the woods of Lake Tahoe.</w:t>
      </w:r>
      <w:r>
        <w:rPr>
          <w:sz w:val="24"/>
          <w:szCs w:val="24"/>
        </w:rPr>
        <w:t xml:space="preserve"> Current income was not at issue. </w:t>
      </w:r>
      <w:r w:rsidRPr="0039651F">
        <w:rPr>
          <w:sz w:val="24"/>
          <w:szCs w:val="24"/>
        </w:rPr>
        <w:t xml:space="preserve"> The prevailing argument concluded that the value of the land bounced-back at the end of the moratorium as if lan</w:t>
      </w:r>
      <w:r>
        <w:rPr>
          <w:sz w:val="24"/>
          <w:szCs w:val="24"/>
        </w:rPr>
        <w:t>d owners had lost nothing. V</w:t>
      </w:r>
      <w:r w:rsidRPr="0039651F">
        <w:rPr>
          <w:sz w:val="24"/>
          <w:szCs w:val="24"/>
        </w:rPr>
        <w:t>alue therefore remained in time; the Court denied the taking under a Lucas claim and decided that the facts of the case should be evaluated in a Penn Central framework.</w:t>
      </w:r>
    </w:p>
    <w:p w:rsidR="00EC0EBF" w:rsidRPr="0039651F" w:rsidRDefault="00EC0EBF" w:rsidP="004B0344">
      <w:pPr>
        <w:pStyle w:val="FootnoteText"/>
        <w:numPr>
          <w:ilvl w:val="0"/>
          <w:numId w:val="40"/>
        </w:numPr>
        <w:autoSpaceDE w:val="0"/>
        <w:autoSpaceDN w:val="0"/>
        <w:adjustRightInd w:val="0"/>
        <w:ind w:left="720"/>
        <w:rPr>
          <w:sz w:val="24"/>
          <w:szCs w:val="24"/>
        </w:rPr>
      </w:pPr>
      <w:r w:rsidRPr="0039651F">
        <w:rPr>
          <w:i/>
          <w:sz w:val="24"/>
          <w:szCs w:val="24"/>
        </w:rPr>
        <w:t>Cienega Gardens</w:t>
      </w:r>
      <w:r w:rsidRPr="0039651F">
        <w:rPr>
          <w:sz w:val="24"/>
          <w:szCs w:val="24"/>
        </w:rPr>
        <w:t xml:space="preserve"> and related cases had actual and substantial rental income losses during the period of regulatory prohibition.  Land was not taken nor were the apartment houses stopped from renting.  They simply could not earn a reasonable return during the period of taking.  Income was taken; real property was not at issue. </w:t>
      </w:r>
    </w:p>
    <w:p w:rsidR="00EC0EBF" w:rsidRPr="00890F85" w:rsidRDefault="00EC0EBF" w:rsidP="00E45A24">
      <w:pPr>
        <w:autoSpaceDE w:val="0"/>
        <w:autoSpaceDN w:val="0"/>
        <w:adjustRightInd w:val="0"/>
        <w:rPr>
          <w:szCs w:val="24"/>
        </w:rPr>
      </w:pPr>
      <w:r w:rsidRPr="0039651F">
        <w:rPr>
          <w:szCs w:val="24"/>
        </w:rPr>
        <w:t xml:space="preserve">The recovery of value of the tangible assets of </w:t>
      </w:r>
      <w:r w:rsidRPr="0039651F">
        <w:rPr>
          <w:i/>
          <w:szCs w:val="24"/>
        </w:rPr>
        <w:t>Tahoe-Sierra’s</w:t>
      </w:r>
      <w:r w:rsidRPr="0039651F">
        <w:rPr>
          <w:szCs w:val="24"/>
        </w:rPr>
        <w:t xml:space="preserve"> plaintiffs’ undeveloped lots is not a competent comparison to a business’ ability to resume operations after the end of the regulatory prohibition.  Income lost in time is not restored as if by magic.</w:t>
      </w:r>
      <w:r w:rsidRPr="00890F85">
        <w:rPr>
          <w:szCs w:val="24"/>
        </w:rPr>
        <w:tab/>
      </w:r>
    </w:p>
    <w:p w:rsidR="00EC0EBF" w:rsidRDefault="00EC0EBF" w:rsidP="00E45A24">
      <w:pPr>
        <w:autoSpaceDE w:val="0"/>
        <w:autoSpaceDN w:val="0"/>
        <w:adjustRightInd w:val="0"/>
        <w:rPr>
          <w:szCs w:val="24"/>
        </w:rPr>
      </w:pPr>
    </w:p>
    <w:p w:rsidR="00EC0EBF" w:rsidRPr="00161D57" w:rsidRDefault="00EC0EBF" w:rsidP="00161D57">
      <w:pPr>
        <w:pStyle w:val="FootnoteText"/>
        <w:autoSpaceDE w:val="0"/>
        <w:autoSpaceDN w:val="0"/>
        <w:adjustRightInd w:val="0"/>
        <w:rPr>
          <w:sz w:val="24"/>
          <w:szCs w:val="24"/>
        </w:rPr>
      </w:pPr>
      <w:r w:rsidRPr="00161D57">
        <w:rPr>
          <w:sz w:val="24"/>
          <w:szCs w:val="24"/>
        </w:rPr>
        <w:t xml:space="preserve">Applying </w:t>
      </w:r>
      <w:r w:rsidRPr="00161D57">
        <w:rPr>
          <w:i/>
          <w:sz w:val="24"/>
          <w:szCs w:val="24"/>
        </w:rPr>
        <w:t>Tahoe-Sierra</w:t>
      </w:r>
      <w:r w:rsidRPr="00161D57">
        <w:rPr>
          <w:sz w:val="24"/>
          <w:szCs w:val="24"/>
        </w:rPr>
        <w:t xml:space="preserve"> to income producing properties is an error.</w:t>
      </w:r>
      <w:r w:rsidRPr="00161D57">
        <w:rPr>
          <w:rStyle w:val="FootnoteReference"/>
          <w:sz w:val="24"/>
          <w:szCs w:val="24"/>
          <w:vertAlign w:val="superscript"/>
        </w:rPr>
        <w:footnoteReference w:id="44"/>
      </w:r>
      <w:r w:rsidRPr="00161D57">
        <w:rPr>
          <w:sz w:val="24"/>
          <w:szCs w:val="24"/>
        </w:rPr>
        <w:t xml:space="preserve">  Time value of money differentiates temporal segmentation of the parcel as a whole per </w:t>
      </w:r>
      <w:r w:rsidRPr="00161D57">
        <w:rPr>
          <w:i/>
          <w:sz w:val="24"/>
          <w:szCs w:val="24"/>
        </w:rPr>
        <w:t>Tahoe-Sierra</w:t>
      </w:r>
      <w:r w:rsidRPr="00161D57">
        <w:rPr>
          <w:sz w:val="24"/>
          <w:szCs w:val="24"/>
        </w:rPr>
        <w:t xml:space="preserve"> from physical segmentation.  Land parcels might be segmented horizontally into the left or right, north or south acreage; or vertically into the air rights above, or mining rights below.</w:t>
      </w:r>
      <w:r w:rsidRPr="00161D57">
        <w:rPr>
          <w:rStyle w:val="FootnoteReference"/>
          <w:sz w:val="24"/>
          <w:szCs w:val="24"/>
          <w:vertAlign w:val="superscript"/>
        </w:rPr>
        <w:footnoteReference w:id="45"/>
      </w:r>
      <w:r w:rsidRPr="00161D57">
        <w:rPr>
          <w:sz w:val="24"/>
          <w:szCs w:val="24"/>
        </w:rPr>
        <w:t xml:space="preserve">  Temporary taking of cash flows removes the near term returns from the commercial activity and restores the cash flows at the end of the useful life of the project, if at all.  These dollars are not fungible. </w:t>
      </w:r>
      <w:r w:rsidRPr="00161D57">
        <w:rPr>
          <w:i/>
          <w:sz w:val="24"/>
          <w:szCs w:val="24"/>
        </w:rPr>
        <w:t>Tahoe-Sierra’s</w:t>
      </w:r>
      <w:r w:rsidRPr="00161D57">
        <w:rPr>
          <w:sz w:val="24"/>
          <w:szCs w:val="24"/>
        </w:rPr>
        <w:t xml:space="preserve"> temporal segmentation fails to account for time value of money during the temporal segment taken.  Returning the use of the property after some taking period does not return the income flow that was lost in time.  Applying </w:t>
      </w:r>
      <w:r w:rsidRPr="00161D57">
        <w:rPr>
          <w:i/>
          <w:sz w:val="24"/>
          <w:szCs w:val="24"/>
        </w:rPr>
        <w:t>Tahoe-Sierra</w:t>
      </w:r>
      <w:r>
        <w:rPr>
          <w:sz w:val="24"/>
          <w:szCs w:val="24"/>
        </w:rPr>
        <w:t>’s</w:t>
      </w:r>
      <w:r w:rsidRPr="00161D57">
        <w:rPr>
          <w:sz w:val="24"/>
          <w:szCs w:val="24"/>
        </w:rPr>
        <w:t xml:space="preserve"> temporal parcel as a whole to income producing properties is misguided.</w:t>
      </w:r>
    </w:p>
    <w:p w:rsidR="00EC0EBF" w:rsidRPr="00300651" w:rsidRDefault="00EC0EBF" w:rsidP="00161D57">
      <w:pPr>
        <w:autoSpaceDE w:val="0"/>
        <w:autoSpaceDN w:val="0"/>
        <w:adjustRightInd w:val="0"/>
        <w:spacing w:after="120"/>
      </w:pPr>
      <w:r w:rsidRPr="00161D57">
        <w:rPr>
          <w:szCs w:val="24"/>
        </w:rPr>
        <w:t>The court proposed two possible ways “to compare the value of the restriction to the value of the property as a whole,”</w:t>
      </w:r>
      <w:r w:rsidRPr="00161D57">
        <w:rPr>
          <w:rStyle w:val="FootnoteReference"/>
          <w:szCs w:val="24"/>
          <w:vertAlign w:val="superscript"/>
        </w:rPr>
        <w:footnoteReference w:id="46"/>
      </w:r>
      <w:r w:rsidRPr="00161D57">
        <w:rPr>
          <w:szCs w:val="24"/>
        </w:rPr>
        <w:t xml:space="preserve"> adopting langua</w:t>
      </w:r>
      <w:r>
        <w:t xml:space="preserve">ge from the government: </w:t>
      </w:r>
      <w:r w:rsidRPr="00300651">
        <w:rPr>
          <w:vertAlign w:val="superscript"/>
        </w:rPr>
        <w:t xml:space="preserve"> </w:t>
      </w:r>
    </w:p>
    <w:p w:rsidR="00EC0EBF" w:rsidRPr="00300651" w:rsidRDefault="00EC0EBF" w:rsidP="00161D57">
      <w:pPr>
        <w:autoSpaceDE w:val="0"/>
        <w:autoSpaceDN w:val="0"/>
        <w:adjustRightInd w:val="0"/>
        <w:ind w:left="446"/>
        <w:rPr>
          <w:szCs w:val="24"/>
        </w:rPr>
      </w:pPr>
      <w:r w:rsidRPr="00300651">
        <w:t xml:space="preserve">“First, a comparison could be made between the market value of the property with and without the restrictions on the date that the restriction began (the change in value approach).  </w:t>
      </w:r>
      <w:r>
        <w:t>The [second]</w:t>
      </w:r>
      <w:r w:rsidRPr="00300651">
        <w:t xml:space="preserve"> approach is to compare the lost net income due to the restriction (discounted to present value at the date the restriction was imposed) with the </w:t>
      </w:r>
      <w:r w:rsidRPr="00300651">
        <w:rPr>
          <w:i/>
        </w:rPr>
        <w:t>total net income without the restriction over the entire useful life of the property</w:t>
      </w:r>
      <w:r w:rsidRPr="00300651">
        <w:t xml:space="preserve"> (again discounted to present value).”</w:t>
      </w:r>
      <w:r w:rsidRPr="00300651">
        <w:rPr>
          <w:rStyle w:val="FootnoteReference"/>
          <w:vertAlign w:val="superscript"/>
        </w:rPr>
        <w:footnoteReference w:id="47"/>
      </w:r>
    </w:p>
    <w:p w:rsidR="00EC0EBF" w:rsidRDefault="00EC0EBF" w:rsidP="00161D57">
      <w:pPr>
        <w:pStyle w:val="Default"/>
        <w:spacing w:after="120"/>
        <w:rPr>
          <w:rFonts w:ascii="Times New Roman" w:hAnsi="Times New Roman" w:cs="Times New Roman"/>
        </w:rPr>
      </w:pPr>
    </w:p>
    <w:p w:rsidR="00EC0EBF" w:rsidRPr="00300651" w:rsidRDefault="00EC0EBF" w:rsidP="00161D57">
      <w:pPr>
        <w:pStyle w:val="Default"/>
        <w:rPr>
          <w:rFonts w:ascii="Times New Roman" w:hAnsi="Times New Roman" w:cs="Times New Roman"/>
          <w:vertAlign w:val="superscript"/>
        </w:rPr>
      </w:pPr>
      <w:r w:rsidRPr="00300651">
        <w:rPr>
          <w:rFonts w:ascii="Times New Roman" w:hAnsi="Times New Roman" w:cs="Times New Roman"/>
        </w:rPr>
        <w:t xml:space="preserve">The </w:t>
      </w:r>
      <w:r w:rsidRPr="00300651">
        <w:rPr>
          <w:rFonts w:ascii="Times New Roman" w:hAnsi="Times New Roman" w:cs="Times New Roman"/>
          <w:i/>
        </w:rPr>
        <w:t>Cienega X</w:t>
      </w:r>
      <w:r w:rsidRPr="00300651">
        <w:rPr>
          <w:rFonts w:ascii="Times New Roman" w:hAnsi="Times New Roman" w:cs="Times New Roman"/>
        </w:rPr>
        <w:t xml:space="preserve"> decision cites the </w:t>
      </w:r>
      <w:r w:rsidRPr="00300651">
        <w:rPr>
          <w:rFonts w:ascii="Times New Roman" w:hAnsi="Times New Roman" w:cs="Times New Roman"/>
          <w:i/>
        </w:rPr>
        <w:t xml:space="preserve">Keystone </w:t>
      </w:r>
      <w:r w:rsidRPr="00300651">
        <w:rPr>
          <w:rFonts w:ascii="Times New Roman" w:hAnsi="Times New Roman" w:cs="Times New Roman"/>
        </w:rPr>
        <w:t xml:space="preserve">decision in search of the all-important denominator of the takings fraction.  Reliance on </w:t>
      </w:r>
      <w:r w:rsidRPr="00300651">
        <w:rPr>
          <w:rFonts w:ascii="Times New Roman" w:hAnsi="Times New Roman" w:cs="Times New Roman"/>
          <w:i/>
        </w:rPr>
        <w:t>Keystone’s</w:t>
      </w:r>
      <w:r w:rsidRPr="00300651">
        <w:rPr>
          <w:rFonts w:ascii="Times New Roman" w:hAnsi="Times New Roman" w:cs="Times New Roman"/>
        </w:rPr>
        <w:t xml:space="preserve"> fateful fraction of “value taken to value remaining” fails to recognize the empirical fact that </w:t>
      </w:r>
      <w:r w:rsidRPr="00300651">
        <w:rPr>
          <w:rFonts w:ascii="Times New Roman" w:hAnsi="Times New Roman" w:cs="Times New Roman"/>
          <w:i/>
        </w:rPr>
        <w:t>Keystone</w:t>
      </w:r>
      <w:r w:rsidRPr="00300651">
        <w:rPr>
          <w:rFonts w:ascii="Times New Roman" w:hAnsi="Times New Roman" w:cs="Times New Roman"/>
        </w:rPr>
        <w:t xml:space="preserve"> was about coal in the ground, a tangible asset with no established value in the case, where the loss in </w:t>
      </w:r>
      <w:r w:rsidRPr="00300651">
        <w:rPr>
          <w:rFonts w:ascii="Times New Roman" w:hAnsi="Times New Roman" w:cs="Times New Roman"/>
          <w:i/>
        </w:rPr>
        <w:t>Cienega Gardens</w:t>
      </w:r>
      <w:r w:rsidRPr="00300651">
        <w:rPr>
          <w:rFonts w:ascii="Times New Roman" w:hAnsi="Times New Roman" w:cs="Times New Roman"/>
        </w:rPr>
        <w:t xml:space="preserve"> was foregone income from use of the property, and the income was critical to economic viability of the investment.</w:t>
      </w:r>
      <w:r w:rsidRPr="00300651">
        <w:rPr>
          <w:rStyle w:val="FootnoteReference"/>
          <w:rFonts w:ascii="Times New Roman" w:hAnsi="Times New Roman"/>
          <w:vertAlign w:val="superscript"/>
        </w:rPr>
        <w:footnoteReference w:id="48"/>
      </w:r>
    </w:p>
    <w:p w:rsidR="00EC0EBF" w:rsidRDefault="00EC0EBF" w:rsidP="001219FD">
      <w:pPr>
        <w:ind w:left="720" w:hanging="720"/>
        <w:rPr>
          <w:szCs w:val="24"/>
        </w:rPr>
      </w:pPr>
    </w:p>
    <w:p w:rsidR="00EC0EBF" w:rsidRPr="00BF2EB4" w:rsidRDefault="00EC0EBF" w:rsidP="001219FD">
      <w:pPr>
        <w:ind w:left="720" w:hanging="720"/>
        <w:rPr>
          <w:b/>
          <w:szCs w:val="24"/>
        </w:rPr>
      </w:pPr>
      <w:r w:rsidRPr="00BF2EB4">
        <w:rPr>
          <w:b/>
          <w:szCs w:val="24"/>
        </w:rPr>
        <w:t>2.3.1</w:t>
      </w:r>
      <w:r w:rsidRPr="00BF2EB4">
        <w:rPr>
          <w:b/>
          <w:szCs w:val="24"/>
        </w:rPr>
        <w:tab/>
        <w:t>Before and after real estate valuations do not measure income loss</w:t>
      </w:r>
      <w:r>
        <w:rPr>
          <w:b/>
          <w:szCs w:val="24"/>
        </w:rPr>
        <w:t>.</w:t>
      </w:r>
    </w:p>
    <w:p w:rsidR="00EC0EBF" w:rsidRDefault="00EC0EBF" w:rsidP="001219FD">
      <w:pPr>
        <w:ind w:left="720" w:hanging="720"/>
        <w:rPr>
          <w:szCs w:val="24"/>
        </w:rPr>
      </w:pPr>
    </w:p>
    <w:p w:rsidR="00EC0EBF" w:rsidRPr="00300651" w:rsidRDefault="00EC0EBF" w:rsidP="001219FD">
      <w:pPr>
        <w:rPr>
          <w:szCs w:val="24"/>
          <w:vertAlign w:val="superscript"/>
        </w:rPr>
      </w:pPr>
      <w:r w:rsidRPr="00300651">
        <w:rPr>
          <w:szCs w:val="24"/>
        </w:rPr>
        <w:t>The first adopted remedy for purported short-comings of the return on equity approach is labeled the “change in value” approach, which is described as the ratio of the “value of the . . . property encumbered by regulation [to] the value of the same property not so encumbered . . . . Because the change in value approach considers everything that affects the property’s value, it provides the most reliable measure of a regulation’s impact upon the property [as a whole].”</w:t>
      </w:r>
      <w:r w:rsidRPr="00300651">
        <w:rPr>
          <w:rStyle w:val="FootnoteReference"/>
          <w:szCs w:val="24"/>
          <w:vertAlign w:val="superscript"/>
        </w:rPr>
        <w:footnoteReference w:id="49"/>
      </w:r>
    </w:p>
    <w:p w:rsidR="00EC0EBF" w:rsidRDefault="00EC0EBF" w:rsidP="001219FD">
      <w:pPr>
        <w:tabs>
          <w:tab w:val="left" w:pos="-1440"/>
        </w:tabs>
        <w:rPr>
          <w:spacing w:val="-3"/>
        </w:rPr>
      </w:pPr>
    </w:p>
    <w:p w:rsidR="00EC0EBF" w:rsidRDefault="00EC0EBF" w:rsidP="001219FD">
      <w:pPr>
        <w:tabs>
          <w:tab w:val="left" w:pos="-1440"/>
        </w:tabs>
        <w:rPr>
          <w:szCs w:val="24"/>
        </w:rPr>
      </w:pPr>
      <w:r w:rsidRPr="00300651">
        <w:rPr>
          <w:szCs w:val="24"/>
        </w:rPr>
        <w:t>Appraisal approaches may accurately measure a change in market value for real property, but they do not accurately measure economic losses to the owner of income-producing properties.  The change in market value approach will produce incorrect estimates of economic damage because the before and after appraisal of market value measures the wrong stick in the bundle of property rights—the tangible asset in lieu of the income stream from the use of the property.</w:t>
      </w:r>
    </w:p>
    <w:p w:rsidR="00EC0EBF" w:rsidRPr="00300651" w:rsidRDefault="00EC0EBF" w:rsidP="001219FD">
      <w:pPr>
        <w:tabs>
          <w:tab w:val="left" w:pos="-1440"/>
        </w:tabs>
        <w:rPr>
          <w:spacing w:val="-3"/>
        </w:rPr>
      </w:pPr>
    </w:p>
    <w:p w:rsidR="00EC0EBF" w:rsidRPr="00300651" w:rsidRDefault="00EC0EBF" w:rsidP="001219FD">
      <w:pPr>
        <w:rPr>
          <w:szCs w:val="24"/>
        </w:rPr>
      </w:pPr>
      <w:r w:rsidRPr="00300651">
        <w:rPr>
          <w:szCs w:val="24"/>
        </w:rPr>
        <w:t xml:space="preserve">Apart from the measurement deficiencies, the fatal flaw with the before and after approach is the problem identified with </w:t>
      </w:r>
      <w:r w:rsidRPr="00300651">
        <w:rPr>
          <w:i/>
          <w:szCs w:val="24"/>
        </w:rPr>
        <w:t>Keystone’s</w:t>
      </w:r>
      <w:r w:rsidRPr="00300651">
        <w:rPr>
          <w:szCs w:val="24"/>
        </w:rPr>
        <w:t xml:space="preserve"> takings fraction, corrected by </w:t>
      </w:r>
      <w:r w:rsidRPr="00300651">
        <w:rPr>
          <w:i/>
          <w:szCs w:val="24"/>
        </w:rPr>
        <w:t>Florida Rock V</w:t>
      </w:r>
      <w:r w:rsidRPr="00300651">
        <w:rPr>
          <w:szCs w:val="24"/>
        </w:rPr>
        <w:t xml:space="preserve">.  The value after compared to the value before, or the percent decline of value, yields no financial decision benchmark.  </w:t>
      </w:r>
      <w:r>
        <w:rPr>
          <w:szCs w:val="24"/>
        </w:rPr>
        <w:t>W</w:t>
      </w:r>
      <w:r w:rsidRPr="00300651">
        <w:rPr>
          <w:szCs w:val="24"/>
        </w:rPr>
        <w:t xml:space="preserve">here income losses are at stake, owners’ change in income and equity are the relevant concepts to measure and compare.  This is black-letter economics.  </w:t>
      </w:r>
    </w:p>
    <w:p w:rsidR="00EC0EBF" w:rsidRDefault="00EC0EBF" w:rsidP="001219FD">
      <w:pPr>
        <w:autoSpaceDE w:val="0"/>
        <w:autoSpaceDN w:val="0"/>
        <w:adjustRightInd w:val="0"/>
        <w:rPr>
          <w:szCs w:val="24"/>
        </w:rPr>
      </w:pPr>
    </w:p>
    <w:p w:rsidR="00EC0EBF" w:rsidRPr="00975E00" w:rsidRDefault="00EC0EBF" w:rsidP="00975E00">
      <w:pPr>
        <w:autoSpaceDE w:val="0"/>
        <w:autoSpaceDN w:val="0"/>
        <w:adjustRightInd w:val="0"/>
        <w:ind w:left="720" w:hanging="720"/>
        <w:rPr>
          <w:b/>
          <w:szCs w:val="24"/>
        </w:rPr>
      </w:pPr>
      <w:r w:rsidRPr="00975E00">
        <w:rPr>
          <w:b/>
          <w:szCs w:val="24"/>
        </w:rPr>
        <w:t>2.3.2</w:t>
      </w:r>
      <w:r w:rsidRPr="00975E00">
        <w:rPr>
          <w:b/>
          <w:szCs w:val="24"/>
        </w:rPr>
        <w:tab/>
      </w:r>
      <w:r>
        <w:rPr>
          <w:b/>
          <w:szCs w:val="24"/>
        </w:rPr>
        <w:t>T</w:t>
      </w:r>
      <w:r w:rsidRPr="00975E00">
        <w:rPr>
          <w:b/>
          <w:szCs w:val="24"/>
        </w:rPr>
        <w:t>akings law precludes evaluation of temporary takings with income after the taking period</w:t>
      </w:r>
      <w:r>
        <w:rPr>
          <w:b/>
          <w:szCs w:val="24"/>
        </w:rPr>
        <w:t>.</w:t>
      </w:r>
    </w:p>
    <w:p w:rsidR="00EC0EBF" w:rsidRDefault="00EC0EBF" w:rsidP="001219FD">
      <w:pPr>
        <w:autoSpaceDE w:val="0"/>
        <w:autoSpaceDN w:val="0"/>
        <w:adjustRightInd w:val="0"/>
        <w:rPr>
          <w:szCs w:val="24"/>
        </w:rPr>
      </w:pPr>
    </w:p>
    <w:p w:rsidR="00EC0EBF" w:rsidRPr="00300651" w:rsidRDefault="00EC0EBF" w:rsidP="001219FD">
      <w:pPr>
        <w:autoSpaceDE w:val="0"/>
        <w:autoSpaceDN w:val="0"/>
        <w:adjustRightInd w:val="0"/>
        <w:rPr>
          <w:szCs w:val="24"/>
        </w:rPr>
      </w:pPr>
      <w:r w:rsidRPr="00300651">
        <w:rPr>
          <w:szCs w:val="24"/>
        </w:rPr>
        <w:t>On to the second a</w:t>
      </w:r>
      <w:r>
        <w:rPr>
          <w:szCs w:val="24"/>
        </w:rPr>
        <w:t xml:space="preserve">pproach adopted by the decision. </w:t>
      </w:r>
      <w:r w:rsidRPr="00300651">
        <w:rPr>
          <w:szCs w:val="24"/>
        </w:rPr>
        <w:t xml:space="preserve"> The valuation of the property with a discount cash flow model over the “entire useful life of the project” is even less appropriate than the appraisal method.  This would require experts to evaluate the economic impact of a temporary loss of income during the taking period with data beyond the end of the taking to prove that the loss </w:t>
      </w:r>
      <w:r w:rsidRPr="00300651">
        <w:rPr>
          <w:i/>
          <w:szCs w:val="24"/>
        </w:rPr>
        <w:t xml:space="preserve">during </w:t>
      </w:r>
      <w:r w:rsidRPr="00300651">
        <w:rPr>
          <w:szCs w:val="24"/>
        </w:rPr>
        <w:t xml:space="preserve">the temporary taking period eviscerates the economic prospects of the plaintiff for all time to come.  </w:t>
      </w:r>
      <w:r w:rsidRPr="00300651">
        <w:t>This would eliminate thought-to-be black-letter law that the effects of temporary takings are measured between a “start” date and an “end” date.</w:t>
      </w:r>
      <w:r w:rsidRPr="00300651">
        <w:rPr>
          <w:rStyle w:val="FootnoteReference"/>
          <w:vertAlign w:val="superscript"/>
        </w:rPr>
        <w:footnoteReference w:id="50"/>
      </w:r>
      <w:r w:rsidRPr="00300651">
        <w:t xml:space="preserve"> </w:t>
      </w:r>
      <w:r w:rsidRPr="00300651">
        <w:rPr>
          <w:szCs w:val="24"/>
        </w:rPr>
        <w:t xml:space="preserve"> If so, a temporary taking of income must be shown to be equivalent to a permanent taking to justify compensation.  </w:t>
      </w:r>
    </w:p>
    <w:p w:rsidR="00EC0EBF" w:rsidRDefault="00EC0EBF" w:rsidP="001219FD">
      <w:pPr>
        <w:rPr>
          <w:szCs w:val="24"/>
        </w:rPr>
      </w:pPr>
    </w:p>
    <w:p w:rsidR="00EC0EBF" w:rsidRDefault="00EC0EBF" w:rsidP="001219FD">
      <w:pPr>
        <w:rPr>
          <w:szCs w:val="24"/>
        </w:rPr>
      </w:pPr>
      <w:r w:rsidRPr="00300651">
        <w:rPr>
          <w:szCs w:val="24"/>
        </w:rPr>
        <w:t>The theoretically preferred way to value income losses during a temporary taking of income producing property is to calculate the change in profits using a cash flow model taught in first year graduate finance courses.</w:t>
      </w:r>
      <w:r w:rsidRPr="00300651">
        <w:rPr>
          <w:rStyle w:val="FootnoteReference"/>
          <w:szCs w:val="24"/>
          <w:vertAlign w:val="superscript"/>
        </w:rPr>
        <w:footnoteReference w:id="51"/>
      </w:r>
      <w:r w:rsidRPr="00300651">
        <w:rPr>
          <w:szCs w:val="24"/>
          <w:vertAlign w:val="superscript"/>
        </w:rPr>
        <w:t xml:space="preserve">  </w:t>
      </w:r>
      <w:r w:rsidRPr="00300651">
        <w:rPr>
          <w:szCs w:val="24"/>
        </w:rPr>
        <w:t>Common sense and Supreme Court decisions point</w:t>
      </w:r>
      <w:r>
        <w:rPr>
          <w:szCs w:val="24"/>
        </w:rPr>
        <w:t>-</w:t>
      </w:r>
      <w:r w:rsidRPr="00300651">
        <w:rPr>
          <w:szCs w:val="24"/>
        </w:rPr>
        <w:t>out that tangible asset (real property) values can increase or decrease in value during the temporary taking for a number of reasons unrelated to the lost income at stake.</w:t>
      </w:r>
      <w:r w:rsidRPr="00300651">
        <w:rPr>
          <w:rStyle w:val="FootnoteReference"/>
          <w:szCs w:val="24"/>
          <w:vertAlign w:val="superscript"/>
        </w:rPr>
        <w:footnoteReference w:id="52"/>
      </w:r>
      <w:r w:rsidRPr="00300651">
        <w:rPr>
          <w:szCs w:val="24"/>
          <w:vertAlign w:val="superscript"/>
        </w:rPr>
        <w:t xml:space="preserve"> </w:t>
      </w:r>
      <w:r w:rsidRPr="00300651">
        <w:rPr>
          <w:szCs w:val="24"/>
        </w:rPr>
        <w:t xml:space="preserve"> What is lost are the cash flows from the use of the real property during the time period of the taking.  Time values of the lost income during the taking are not measured by real property appraisals. Benchmarking the change in income during the taking to 100% of owner’s equity in the property is consistent with </w:t>
      </w:r>
      <w:r w:rsidRPr="00300651">
        <w:rPr>
          <w:i/>
          <w:szCs w:val="24"/>
        </w:rPr>
        <w:t>Penn Central’s</w:t>
      </w:r>
      <w:r w:rsidRPr="00300651">
        <w:rPr>
          <w:szCs w:val="24"/>
        </w:rPr>
        <w:t xml:space="preserve"> property as a whole.</w:t>
      </w:r>
    </w:p>
    <w:p w:rsidR="00EC0EBF" w:rsidRPr="00300651" w:rsidRDefault="00EC0EBF" w:rsidP="001219FD">
      <w:pPr>
        <w:rPr>
          <w:szCs w:val="24"/>
        </w:rPr>
      </w:pPr>
    </w:p>
    <w:p w:rsidR="00EC0EBF" w:rsidRPr="00300651" w:rsidRDefault="00EC0EBF" w:rsidP="001219FD">
      <w:pPr>
        <w:autoSpaceDE w:val="0"/>
        <w:autoSpaceDN w:val="0"/>
        <w:adjustRightInd w:val="0"/>
        <w:rPr>
          <w:szCs w:val="24"/>
        </w:rPr>
      </w:pPr>
      <w:r w:rsidRPr="00300651">
        <w:rPr>
          <w:i/>
          <w:szCs w:val="24"/>
        </w:rPr>
        <w:t>Cienega X</w:t>
      </w:r>
      <w:r w:rsidRPr="00300651">
        <w:rPr>
          <w:szCs w:val="24"/>
        </w:rPr>
        <w:t xml:space="preserve"> reverses a line of cases that brought clarity to the </w:t>
      </w:r>
      <w:r w:rsidRPr="00300651">
        <w:rPr>
          <w:i/>
          <w:szCs w:val="24"/>
        </w:rPr>
        <w:t>Penn Central</w:t>
      </w:r>
      <w:r w:rsidRPr="00300651">
        <w:rPr>
          <w:szCs w:val="24"/>
        </w:rPr>
        <w:t xml:space="preserve"> test.  Not surprisingly, Circuit Judge Newman, who was on the </w:t>
      </w:r>
      <w:r w:rsidRPr="00300651">
        <w:rPr>
          <w:i/>
          <w:szCs w:val="24"/>
        </w:rPr>
        <w:t>Cienega VIII</w:t>
      </w:r>
      <w:r w:rsidRPr="00300651">
        <w:rPr>
          <w:szCs w:val="24"/>
        </w:rPr>
        <w:t xml:space="preserve"> and </w:t>
      </w:r>
      <w:r w:rsidRPr="00300651">
        <w:rPr>
          <w:i/>
          <w:szCs w:val="24"/>
        </w:rPr>
        <w:t>Cienega X</w:t>
      </w:r>
      <w:r w:rsidRPr="00300651">
        <w:rPr>
          <w:szCs w:val="24"/>
        </w:rPr>
        <w:t xml:space="preserve"> panels, had reasonably harsh words for her colleagues. “This panel has no authority to revoke our prior decision [in </w:t>
      </w:r>
      <w:r w:rsidRPr="00300651">
        <w:rPr>
          <w:i/>
          <w:szCs w:val="24"/>
        </w:rPr>
        <w:t>Cienega VIII</w:t>
      </w:r>
      <w:r w:rsidRPr="00300651">
        <w:rPr>
          <w:szCs w:val="24"/>
        </w:rPr>
        <w:t>]</w:t>
      </w:r>
      <w:r w:rsidRPr="00300651">
        <w:rPr>
          <w:i/>
          <w:szCs w:val="24"/>
        </w:rPr>
        <w:t>.”</w:t>
      </w:r>
      <w:r w:rsidRPr="00300651">
        <w:rPr>
          <w:rStyle w:val="FootnoteReference"/>
          <w:szCs w:val="24"/>
          <w:vertAlign w:val="superscript"/>
        </w:rPr>
        <w:footnoteReference w:id="53"/>
      </w:r>
      <w:r w:rsidRPr="00300651">
        <w:rPr>
          <w:i/>
          <w:szCs w:val="24"/>
        </w:rPr>
        <w:t xml:space="preserve">  </w:t>
      </w:r>
      <w:r w:rsidRPr="00300651">
        <w:rPr>
          <w:szCs w:val="24"/>
        </w:rPr>
        <w:t>“[Considering the] creative theories propounded by my colleagues for redetermining whether a taking occurred ignore the law of this case . . . I must, respectfully, dissent.”</w:t>
      </w:r>
      <w:r w:rsidRPr="00300651">
        <w:rPr>
          <w:rStyle w:val="FootnoteReference"/>
          <w:szCs w:val="24"/>
          <w:vertAlign w:val="superscript"/>
        </w:rPr>
        <w:footnoteReference w:id="54"/>
      </w:r>
    </w:p>
    <w:p w:rsidR="00EC0EBF" w:rsidRPr="00300651" w:rsidRDefault="00EC0EBF" w:rsidP="001219FD">
      <w:pPr>
        <w:widowControl/>
        <w:autoSpaceDE w:val="0"/>
        <w:autoSpaceDN w:val="0"/>
        <w:adjustRightInd w:val="0"/>
        <w:ind w:left="720" w:hanging="720"/>
        <w:rPr>
          <w:b/>
          <w:sz w:val="28"/>
          <w:szCs w:val="28"/>
        </w:rPr>
      </w:pPr>
    </w:p>
    <w:p w:rsidR="00EC0EBF" w:rsidRPr="00682B8C" w:rsidRDefault="00EC0EBF" w:rsidP="001219FD">
      <w:pPr>
        <w:widowControl/>
        <w:autoSpaceDE w:val="0"/>
        <w:autoSpaceDN w:val="0"/>
        <w:adjustRightInd w:val="0"/>
        <w:ind w:left="720" w:hanging="720"/>
        <w:rPr>
          <w:b/>
          <w:szCs w:val="24"/>
        </w:rPr>
      </w:pPr>
      <w:r w:rsidRPr="00682B8C">
        <w:rPr>
          <w:b/>
          <w:szCs w:val="24"/>
        </w:rPr>
        <w:t>3</w:t>
      </w:r>
      <w:r w:rsidRPr="00682B8C">
        <w:rPr>
          <w:b/>
          <w:szCs w:val="24"/>
        </w:rPr>
        <w:tab/>
        <w:t xml:space="preserve">Progeny of </w:t>
      </w:r>
      <w:r w:rsidRPr="00682B8C">
        <w:rPr>
          <w:b/>
          <w:i/>
          <w:szCs w:val="24"/>
        </w:rPr>
        <w:t>Cienega X</w:t>
      </w:r>
      <w:r w:rsidRPr="00682B8C">
        <w:rPr>
          <w:b/>
          <w:szCs w:val="24"/>
        </w:rPr>
        <w:t xml:space="preserve"> -- </w:t>
      </w:r>
      <w:r w:rsidRPr="00682B8C">
        <w:rPr>
          <w:b/>
          <w:i/>
          <w:szCs w:val="24"/>
        </w:rPr>
        <w:t>Rose Acre Farms</w:t>
      </w:r>
      <w:r w:rsidRPr="00682B8C">
        <w:rPr>
          <w:b/>
          <w:szCs w:val="24"/>
        </w:rPr>
        <w:t xml:space="preserve"> &amp; </w:t>
      </w:r>
      <w:r w:rsidRPr="00682B8C">
        <w:rPr>
          <w:b/>
          <w:i/>
          <w:szCs w:val="24"/>
        </w:rPr>
        <w:t>CCA Associates</w:t>
      </w:r>
      <w:r w:rsidRPr="00682B8C">
        <w:rPr>
          <w:b/>
          <w:szCs w:val="24"/>
        </w:rPr>
        <w:t xml:space="preserve"> –- reveal its confused application of </w:t>
      </w:r>
      <w:r w:rsidRPr="0085553D">
        <w:rPr>
          <w:b/>
          <w:i/>
          <w:szCs w:val="24"/>
        </w:rPr>
        <w:t>Penn Central’s</w:t>
      </w:r>
      <w:r w:rsidRPr="00682B8C">
        <w:rPr>
          <w:b/>
          <w:szCs w:val="24"/>
        </w:rPr>
        <w:t xml:space="preserve"> economic underpinnings.</w:t>
      </w:r>
      <w:r w:rsidRPr="00682B8C">
        <w:rPr>
          <w:rStyle w:val="FootnoteReference"/>
          <w:b/>
          <w:szCs w:val="24"/>
          <w:vertAlign w:val="superscript"/>
        </w:rPr>
        <w:footnoteReference w:id="55"/>
      </w:r>
      <w:r w:rsidRPr="00682B8C">
        <w:rPr>
          <w:b/>
          <w:szCs w:val="24"/>
          <w:vertAlign w:val="superscript"/>
        </w:rPr>
        <w:t xml:space="preserve"> </w:t>
      </w:r>
    </w:p>
    <w:p w:rsidR="00EC0EBF" w:rsidRDefault="00EC0EBF" w:rsidP="001219FD">
      <w:pPr>
        <w:autoSpaceDE w:val="0"/>
        <w:autoSpaceDN w:val="0"/>
        <w:adjustRightInd w:val="0"/>
        <w:rPr>
          <w:i/>
        </w:rPr>
      </w:pPr>
    </w:p>
    <w:p w:rsidR="00EC0EBF" w:rsidRPr="004B5912" w:rsidRDefault="00EC0EBF" w:rsidP="001219FD">
      <w:pPr>
        <w:autoSpaceDE w:val="0"/>
        <w:autoSpaceDN w:val="0"/>
        <w:adjustRightInd w:val="0"/>
      </w:pPr>
      <w:r w:rsidRPr="004B5912">
        <w:t xml:space="preserve">Progeny of </w:t>
      </w:r>
      <w:r w:rsidRPr="00975E00">
        <w:rPr>
          <w:i/>
        </w:rPr>
        <w:t>Cienega X</w:t>
      </w:r>
      <w:r w:rsidRPr="004B5912">
        <w:t xml:space="preserve"> demonstrate that faulty</w:t>
      </w:r>
      <w:r w:rsidRPr="00064025">
        <w:t xml:space="preserve"> legal</w:t>
      </w:r>
      <w:r>
        <w:t xml:space="preserve"> interpretations</w:t>
      </w:r>
      <w:r w:rsidRPr="004B5912">
        <w:t xml:space="preserve"> of economic</w:t>
      </w:r>
      <w:r>
        <w:t xml:space="preserve"> theories</w:t>
      </w:r>
      <w:r w:rsidRPr="004B5912">
        <w:t xml:space="preserve"> developed in </w:t>
      </w:r>
      <w:r w:rsidRPr="00975E00">
        <w:rPr>
          <w:i/>
        </w:rPr>
        <w:t>Cienega X</w:t>
      </w:r>
      <w:r w:rsidRPr="004B5912">
        <w:t xml:space="preserve"> should not displace well-established textbook</w:t>
      </w:r>
      <w:r>
        <w:t xml:space="preserve"> economic methods</w:t>
      </w:r>
      <w:r w:rsidRPr="004B5912">
        <w:t xml:space="preserve"> for measuring and benchmarking financial losses.  Recent Federal Circuit and Federal Claims Court decisions rev</w:t>
      </w:r>
      <w:r>
        <w:t>eal that confused legal interpretations</w:t>
      </w:r>
      <w:r w:rsidRPr="004B5912">
        <w:t xml:space="preserve"> cannot be shoehorned into st</w:t>
      </w:r>
      <w:r>
        <w:t>andard economic theorie</w:t>
      </w:r>
      <w:r w:rsidRPr="004B5912">
        <w:t>s essential to evaluate the Penn Central test.</w:t>
      </w:r>
      <w:r w:rsidRPr="004B5912">
        <w:rPr>
          <w:rStyle w:val="FootnoteReference"/>
          <w:vertAlign w:val="superscript"/>
        </w:rPr>
        <w:footnoteReference w:id="56"/>
      </w:r>
      <w:r w:rsidRPr="004B5912">
        <w:rPr>
          <w:vertAlign w:val="superscript"/>
        </w:rPr>
        <w:t xml:space="preserve"> </w:t>
      </w:r>
    </w:p>
    <w:p w:rsidR="00EC0EBF" w:rsidRDefault="00EC0EBF" w:rsidP="001219FD">
      <w:pPr>
        <w:autoSpaceDE w:val="0"/>
        <w:autoSpaceDN w:val="0"/>
        <w:adjustRightInd w:val="0"/>
      </w:pPr>
    </w:p>
    <w:p w:rsidR="00EC0EBF" w:rsidRDefault="00EC0EBF" w:rsidP="00975E00">
      <w:pPr>
        <w:autoSpaceDE w:val="0"/>
        <w:autoSpaceDN w:val="0"/>
        <w:adjustRightInd w:val="0"/>
        <w:spacing w:after="120"/>
      </w:pPr>
      <w:r w:rsidRPr="004B5912">
        <w:t xml:space="preserve">Progeny of </w:t>
      </w:r>
      <w:r w:rsidRPr="00975E00">
        <w:rPr>
          <w:i/>
        </w:rPr>
        <w:t xml:space="preserve">Cienega X </w:t>
      </w:r>
      <w:r w:rsidRPr="004B5912">
        <w:t>at issue are:</w:t>
      </w:r>
    </w:p>
    <w:p w:rsidR="00EC0EBF" w:rsidRPr="004B5912" w:rsidRDefault="00EC0EBF" w:rsidP="00AD0412">
      <w:pPr>
        <w:pStyle w:val="FootnoteText"/>
        <w:numPr>
          <w:ilvl w:val="0"/>
          <w:numId w:val="18"/>
        </w:numPr>
        <w:rPr>
          <w:sz w:val="24"/>
          <w:szCs w:val="24"/>
        </w:rPr>
      </w:pPr>
      <w:r w:rsidRPr="005F1AB4">
        <w:rPr>
          <w:i/>
          <w:iCs/>
          <w:sz w:val="24"/>
          <w:szCs w:val="24"/>
        </w:rPr>
        <w:t>Rose Acre Farms, Inc. v. United States</w:t>
      </w:r>
      <w:r w:rsidRPr="004B5912">
        <w:rPr>
          <w:iCs/>
          <w:sz w:val="24"/>
          <w:szCs w:val="24"/>
        </w:rPr>
        <w:t xml:space="preserve"> </w:t>
      </w:r>
      <w:r w:rsidRPr="00064025">
        <w:rPr>
          <w:iCs/>
          <w:sz w:val="24"/>
          <w:szCs w:val="24"/>
        </w:rPr>
        <w:t>(</w:t>
      </w:r>
      <w:r w:rsidRPr="00064025">
        <w:rPr>
          <w:i/>
          <w:iCs/>
          <w:sz w:val="24"/>
          <w:szCs w:val="24"/>
        </w:rPr>
        <w:t>“Rose Acre VI”</w:t>
      </w:r>
      <w:r w:rsidRPr="004B5912">
        <w:rPr>
          <w:iCs/>
          <w:sz w:val="24"/>
          <w:szCs w:val="24"/>
        </w:rPr>
        <w:t>)</w:t>
      </w:r>
      <w:r w:rsidRPr="004B5912">
        <w:rPr>
          <w:rStyle w:val="FootnoteReference"/>
          <w:sz w:val="24"/>
          <w:szCs w:val="24"/>
          <w:vertAlign w:val="superscript"/>
        </w:rPr>
        <w:footnoteReference w:id="57"/>
      </w:r>
      <w:r w:rsidRPr="004B5912">
        <w:rPr>
          <w:sz w:val="24"/>
          <w:szCs w:val="24"/>
          <w:vertAlign w:val="superscript"/>
        </w:rPr>
        <w:t xml:space="preserve"> </w:t>
      </w:r>
    </w:p>
    <w:p w:rsidR="00EC0EBF" w:rsidRPr="004B5912" w:rsidRDefault="00EC0EBF" w:rsidP="00AD0412">
      <w:pPr>
        <w:widowControl/>
        <w:numPr>
          <w:ilvl w:val="0"/>
          <w:numId w:val="18"/>
        </w:numPr>
        <w:autoSpaceDE w:val="0"/>
        <w:autoSpaceDN w:val="0"/>
        <w:adjustRightInd w:val="0"/>
        <w:spacing w:after="120"/>
      </w:pPr>
      <w:r w:rsidRPr="005F1AB4">
        <w:rPr>
          <w:i/>
        </w:rPr>
        <w:t>CCA Associates v. Unites States</w:t>
      </w:r>
      <w:r w:rsidRPr="004B5912">
        <w:t xml:space="preserve"> (Fed. Cl.)</w:t>
      </w:r>
      <w:r w:rsidRPr="004B5912">
        <w:rPr>
          <w:vertAlign w:val="superscript"/>
        </w:rPr>
        <w:t xml:space="preserve"> </w:t>
      </w:r>
      <w:r w:rsidRPr="004B5912">
        <w:t>(</w:t>
      </w:r>
      <w:r w:rsidRPr="00064025">
        <w:rPr>
          <w:i/>
        </w:rPr>
        <w:t>“CCA III”</w:t>
      </w:r>
      <w:r w:rsidRPr="004B5912">
        <w:t>)</w:t>
      </w:r>
      <w:r w:rsidRPr="00D94B88">
        <w:rPr>
          <w:rStyle w:val="FootnoteReference"/>
          <w:vertAlign w:val="superscript"/>
        </w:rPr>
        <w:t xml:space="preserve"> </w:t>
      </w:r>
      <w:r w:rsidRPr="004B5912">
        <w:rPr>
          <w:rStyle w:val="FootnoteReference"/>
          <w:vertAlign w:val="superscript"/>
        </w:rPr>
        <w:footnoteReference w:id="58"/>
      </w:r>
    </w:p>
    <w:p w:rsidR="00EC0EBF" w:rsidRPr="004B5912" w:rsidRDefault="00EC0EBF" w:rsidP="00AD0412">
      <w:pPr>
        <w:widowControl/>
        <w:numPr>
          <w:ilvl w:val="0"/>
          <w:numId w:val="18"/>
        </w:numPr>
        <w:spacing w:after="120"/>
      </w:pPr>
      <w:r w:rsidRPr="005F1AB4">
        <w:rPr>
          <w:i/>
          <w:iCs/>
        </w:rPr>
        <w:t>CCA Associates v. United States</w:t>
      </w:r>
      <w:r w:rsidRPr="004B5912">
        <w:rPr>
          <w:iCs/>
        </w:rPr>
        <w:t xml:space="preserve"> (Fed. Cir.)</w:t>
      </w:r>
      <w:r w:rsidRPr="004B5912">
        <w:rPr>
          <w:vertAlign w:val="superscript"/>
        </w:rPr>
        <w:t xml:space="preserve"> </w:t>
      </w:r>
      <w:r w:rsidRPr="004B5912">
        <w:t>(</w:t>
      </w:r>
      <w:r w:rsidRPr="00064025">
        <w:rPr>
          <w:i/>
        </w:rPr>
        <w:t>“CCA II”</w:t>
      </w:r>
      <w:r w:rsidRPr="004B5912">
        <w:t>)</w:t>
      </w:r>
      <w:r w:rsidRPr="00D94B88">
        <w:rPr>
          <w:rStyle w:val="FootnoteReference"/>
          <w:vertAlign w:val="superscript"/>
        </w:rPr>
        <w:t xml:space="preserve"> </w:t>
      </w:r>
      <w:r w:rsidRPr="004B5912">
        <w:rPr>
          <w:rStyle w:val="FootnoteReference"/>
          <w:vertAlign w:val="superscript"/>
        </w:rPr>
        <w:footnoteReference w:id="59"/>
      </w:r>
    </w:p>
    <w:p w:rsidR="00EC0EBF" w:rsidRPr="004B5912" w:rsidRDefault="00EC0EBF" w:rsidP="00AD0412">
      <w:pPr>
        <w:autoSpaceDE w:val="0"/>
        <w:autoSpaceDN w:val="0"/>
        <w:adjustRightInd w:val="0"/>
        <w:spacing w:after="120"/>
      </w:pPr>
      <w:r w:rsidRPr="004B5912">
        <w:t xml:space="preserve">The essential economic fact to understand in the </w:t>
      </w:r>
      <w:r w:rsidRPr="00064025">
        <w:rPr>
          <w:i/>
        </w:rPr>
        <w:t>Cienega Gardens, CCA,</w:t>
      </w:r>
      <w:r w:rsidRPr="004B5912">
        <w:t xml:space="preserve"> and </w:t>
      </w:r>
      <w:r w:rsidRPr="00064025">
        <w:rPr>
          <w:i/>
        </w:rPr>
        <w:t>Rose Acre Farms</w:t>
      </w:r>
      <w:r w:rsidRPr="004B5912">
        <w:t xml:space="preserve"> cases is that unanticipated regulatory proscriptions interrupted their plans of business operations causing substantial loss of income for a period of two to five years.  CCA Associates and Cienega Gardens owned rental properties, which were prohibited from exiting a government low-income housing program and increasing rents to market; Rose Acre Farms suffered a 25-month loss of table egg sales due to government restrictions. </w:t>
      </w:r>
    </w:p>
    <w:p w:rsidR="00EC0EBF" w:rsidRPr="004B5912" w:rsidRDefault="00EC0EBF" w:rsidP="002775C3">
      <w:pPr>
        <w:autoSpaceDE w:val="0"/>
        <w:autoSpaceDN w:val="0"/>
        <w:adjustRightInd w:val="0"/>
        <w:rPr>
          <w:szCs w:val="24"/>
        </w:rPr>
      </w:pPr>
      <w:r w:rsidRPr="004B5912">
        <w:t>Reliance on change in value of real (or imagined</w:t>
      </w:r>
      <w:r w:rsidRPr="004B5912">
        <w:rPr>
          <w:rStyle w:val="FootnoteReference"/>
          <w:vertAlign w:val="superscript"/>
        </w:rPr>
        <w:footnoteReference w:id="60"/>
      </w:r>
      <w:r w:rsidRPr="004B5912">
        <w:t xml:space="preserve">) property in lieu of loss of income led each of the federal circuit decisions astray. </w:t>
      </w:r>
    </w:p>
    <w:p w:rsidR="00EC0EBF" w:rsidRPr="004B5912" w:rsidRDefault="00EC0EBF" w:rsidP="00AD0412">
      <w:pPr>
        <w:widowControl/>
        <w:spacing w:after="120"/>
      </w:pPr>
    </w:p>
    <w:p w:rsidR="00EC0EBF" w:rsidRPr="00682B8C" w:rsidRDefault="00EC0EBF" w:rsidP="002775C3">
      <w:pPr>
        <w:autoSpaceDE w:val="0"/>
        <w:autoSpaceDN w:val="0"/>
        <w:adjustRightInd w:val="0"/>
        <w:ind w:left="720" w:hanging="720"/>
        <w:rPr>
          <w:b/>
          <w:szCs w:val="24"/>
        </w:rPr>
      </w:pPr>
      <w:r w:rsidRPr="00682B8C">
        <w:rPr>
          <w:b/>
          <w:szCs w:val="24"/>
        </w:rPr>
        <w:t>3.1</w:t>
      </w:r>
      <w:r w:rsidRPr="00682B8C">
        <w:rPr>
          <w:b/>
          <w:szCs w:val="24"/>
        </w:rPr>
        <w:tab/>
      </w:r>
      <w:r w:rsidRPr="00682B8C">
        <w:rPr>
          <w:b/>
          <w:i/>
          <w:szCs w:val="24"/>
        </w:rPr>
        <w:t>Rose Acre Farms</w:t>
      </w:r>
      <w:r w:rsidRPr="00682B8C">
        <w:rPr>
          <w:b/>
          <w:szCs w:val="24"/>
        </w:rPr>
        <w:t xml:space="preserve"> confounded numerator and denominator to reach a confused analysis of </w:t>
      </w:r>
      <w:r w:rsidRPr="00682B8C">
        <w:rPr>
          <w:b/>
          <w:i/>
          <w:szCs w:val="24"/>
        </w:rPr>
        <w:t>Penn Central</w:t>
      </w:r>
      <w:r w:rsidRPr="00682B8C">
        <w:rPr>
          <w:b/>
          <w:szCs w:val="24"/>
        </w:rPr>
        <w:t xml:space="preserve"> economic factors.</w:t>
      </w:r>
    </w:p>
    <w:p w:rsidR="00EC0EBF" w:rsidRDefault="00EC0EBF" w:rsidP="004B5912">
      <w:pPr>
        <w:autoSpaceDE w:val="0"/>
        <w:autoSpaceDN w:val="0"/>
        <w:adjustRightInd w:val="0"/>
        <w:rPr>
          <w:i/>
          <w:szCs w:val="24"/>
        </w:rPr>
      </w:pPr>
    </w:p>
    <w:p w:rsidR="00EC0EBF" w:rsidRPr="00300651" w:rsidRDefault="00EC0EBF" w:rsidP="004B5912">
      <w:pPr>
        <w:autoSpaceDE w:val="0"/>
        <w:autoSpaceDN w:val="0"/>
        <w:adjustRightInd w:val="0"/>
        <w:rPr>
          <w:szCs w:val="24"/>
        </w:rPr>
      </w:pPr>
      <w:r w:rsidRPr="00300651">
        <w:rPr>
          <w:i/>
          <w:szCs w:val="24"/>
        </w:rPr>
        <w:t>Rose Acre Farms</w:t>
      </w:r>
      <w:r w:rsidRPr="00300651">
        <w:rPr>
          <w:szCs w:val="24"/>
        </w:rPr>
        <w:t xml:space="preserve"> was heard by the Federal Claims and Federal Circuit Courts</w:t>
      </w:r>
      <w:r>
        <w:rPr>
          <w:szCs w:val="24"/>
        </w:rPr>
        <w:t xml:space="preserve"> </w:t>
      </w:r>
      <w:r w:rsidRPr="00300651">
        <w:rPr>
          <w:szCs w:val="24"/>
        </w:rPr>
        <w:t xml:space="preserve">twice;  both times the lower court found a taking and the Federal Circuit reversed.  Most recently, the Federal Circuit, following </w:t>
      </w:r>
      <w:r w:rsidRPr="00300651">
        <w:rPr>
          <w:i/>
          <w:szCs w:val="24"/>
        </w:rPr>
        <w:t xml:space="preserve">Cienega X, </w:t>
      </w:r>
      <w:r w:rsidRPr="00300651">
        <w:rPr>
          <w:szCs w:val="24"/>
        </w:rPr>
        <w:t xml:space="preserve">overturned because it disagreed with assessing the </w:t>
      </w:r>
      <w:r w:rsidRPr="00300651">
        <w:rPr>
          <w:i/>
          <w:szCs w:val="24"/>
        </w:rPr>
        <w:t>severity of the economic</w:t>
      </w:r>
      <w:r w:rsidRPr="00300651">
        <w:rPr>
          <w:szCs w:val="24"/>
        </w:rPr>
        <w:t xml:space="preserve"> </w:t>
      </w:r>
      <w:r w:rsidRPr="00300651">
        <w:rPr>
          <w:i/>
          <w:szCs w:val="24"/>
        </w:rPr>
        <w:t>impact</w:t>
      </w:r>
      <w:r w:rsidRPr="00300651">
        <w:rPr>
          <w:szCs w:val="24"/>
        </w:rPr>
        <w:t xml:space="preserve"> by looking at the percentage decrease in profits; finding that doing so “does not provide a sufficiently accurate view.”</w:t>
      </w:r>
      <w:r w:rsidRPr="00300651">
        <w:rPr>
          <w:rStyle w:val="FootnoteReference"/>
          <w:szCs w:val="24"/>
          <w:vertAlign w:val="superscript"/>
        </w:rPr>
        <w:footnoteReference w:id="61"/>
      </w:r>
    </w:p>
    <w:p w:rsidR="00EC0EBF" w:rsidRDefault="00EC0EBF" w:rsidP="004B5912">
      <w:pPr>
        <w:autoSpaceDE w:val="0"/>
        <w:autoSpaceDN w:val="0"/>
        <w:adjustRightInd w:val="0"/>
        <w:rPr>
          <w:i/>
          <w:szCs w:val="24"/>
        </w:rPr>
      </w:pPr>
    </w:p>
    <w:p w:rsidR="00EC0EBF" w:rsidRPr="00300651" w:rsidRDefault="00EC0EBF" w:rsidP="004B5912">
      <w:pPr>
        <w:autoSpaceDE w:val="0"/>
        <w:autoSpaceDN w:val="0"/>
        <w:adjustRightInd w:val="0"/>
        <w:rPr>
          <w:szCs w:val="24"/>
        </w:rPr>
      </w:pPr>
      <w:r w:rsidRPr="00300651">
        <w:rPr>
          <w:i/>
          <w:szCs w:val="24"/>
        </w:rPr>
        <w:t>Rose Acre Farms VI</w:t>
      </w:r>
      <w:r w:rsidRPr="00300651">
        <w:rPr>
          <w:szCs w:val="24"/>
        </w:rPr>
        <w:t xml:space="preserve"> revisited the question of whether the economic impact should be calculated by a diminution in value analysis or a diminution in return analysis</w:t>
      </w:r>
      <w:r w:rsidRPr="00300651">
        <w:rPr>
          <w:i/>
          <w:szCs w:val="24"/>
        </w:rPr>
        <w:t xml:space="preserve">. </w:t>
      </w:r>
      <w:r w:rsidRPr="00300651">
        <w:rPr>
          <w:szCs w:val="24"/>
        </w:rPr>
        <w:t xml:space="preserve"> Conjoining this question with </w:t>
      </w:r>
      <w:r w:rsidRPr="00300651">
        <w:rPr>
          <w:i/>
          <w:szCs w:val="24"/>
        </w:rPr>
        <w:t>Cienega X’s</w:t>
      </w:r>
      <w:r w:rsidRPr="00300651">
        <w:rPr>
          <w:szCs w:val="24"/>
        </w:rPr>
        <w:t xml:space="preserve"> parcel as a temporal whole concept, the government argued in their brief “[t]he exclusive focus upon Rose Acre’s lost profitability </w:t>
      </w:r>
      <w:r w:rsidRPr="00300651">
        <w:rPr>
          <w:i/>
          <w:szCs w:val="24"/>
        </w:rPr>
        <w:t>during</w:t>
      </w:r>
      <w:r w:rsidRPr="00300651">
        <w:rPr>
          <w:szCs w:val="24"/>
        </w:rPr>
        <w:t xml:space="preserve"> the temporary period [of the restrictions] is an erroneous assessment of the economic impact of a temporary regulatory restriction upon the property as a whole.”  . . . The obvious purpose for [the </w:t>
      </w:r>
      <w:r w:rsidRPr="00300651">
        <w:rPr>
          <w:i/>
          <w:szCs w:val="24"/>
        </w:rPr>
        <w:t>Tahoe-Sierra</w:t>
      </w:r>
      <w:r w:rsidRPr="00300651">
        <w:rPr>
          <w:szCs w:val="24"/>
        </w:rPr>
        <w:t xml:space="preserve">] requirement is to assess the economic impact of the temporary regulatory action in relation to </w:t>
      </w:r>
      <w:r w:rsidRPr="00300651">
        <w:rPr>
          <w:i/>
          <w:szCs w:val="24"/>
        </w:rPr>
        <w:t>the entire life of the property</w:t>
      </w:r>
      <w:r w:rsidRPr="00300651">
        <w:rPr>
          <w:szCs w:val="24"/>
        </w:rPr>
        <w:t>.”</w:t>
      </w:r>
      <w:r w:rsidRPr="00300651">
        <w:rPr>
          <w:rStyle w:val="FootnoteReference"/>
          <w:szCs w:val="24"/>
          <w:vertAlign w:val="superscript"/>
        </w:rPr>
        <w:footnoteReference w:id="62"/>
      </w:r>
      <w:r w:rsidRPr="00300651">
        <w:rPr>
          <w:szCs w:val="24"/>
          <w:vertAlign w:val="superscript"/>
        </w:rPr>
        <w:t xml:space="preserve"> </w:t>
      </w:r>
      <w:r w:rsidRPr="00300651">
        <w:rPr>
          <w:szCs w:val="24"/>
        </w:rPr>
        <w:t xml:space="preserve"> </w:t>
      </w:r>
    </w:p>
    <w:p w:rsidR="00EC0EBF" w:rsidRDefault="00EC0EBF" w:rsidP="004B5912">
      <w:pPr>
        <w:widowControl/>
        <w:autoSpaceDE w:val="0"/>
        <w:autoSpaceDN w:val="0"/>
        <w:adjustRightInd w:val="0"/>
        <w:snapToGrid w:val="0"/>
        <w:rPr>
          <w:color w:val="000000"/>
          <w:szCs w:val="24"/>
        </w:rPr>
      </w:pPr>
    </w:p>
    <w:p w:rsidR="00EC0EBF" w:rsidRPr="00300651" w:rsidRDefault="00EC0EBF" w:rsidP="004B5912">
      <w:pPr>
        <w:widowControl/>
        <w:autoSpaceDE w:val="0"/>
        <w:autoSpaceDN w:val="0"/>
        <w:adjustRightInd w:val="0"/>
        <w:snapToGrid w:val="0"/>
        <w:rPr>
          <w:color w:val="000000"/>
          <w:szCs w:val="24"/>
        </w:rPr>
      </w:pPr>
      <w:r w:rsidRPr="00300651">
        <w:rPr>
          <w:color w:val="000000"/>
          <w:szCs w:val="24"/>
        </w:rPr>
        <w:t xml:space="preserve">The </w:t>
      </w:r>
      <w:r w:rsidRPr="00300651">
        <w:rPr>
          <w:i/>
          <w:color w:val="000000"/>
          <w:szCs w:val="24"/>
        </w:rPr>
        <w:t>Rose Acre VI</w:t>
      </w:r>
      <w:r w:rsidRPr="00300651">
        <w:rPr>
          <w:color w:val="000000"/>
          <w:szCs w:val="24"/>
        </w:rPr>
        <w:t xml:space="preserve"> decision emphasizes the need for courts to distinguish the economic differences between </w:t>
      </w:r>
      <w:r>
        <w:rPr>
          <w:color w:val="000000"/>
          <w:szCs w:val="24"/>
        </w:rPr>
        <w:t xml:space="preserve">valuation of </w:t>
      </w:r>
      <w:r w:rsidRPr="00300651">
        <w:rPr>
          <w:color w:val="000000"/>
          <w:szCs w:val="24"/>
        </w:rPr>
        <w:t xml:space="preserve">real property </w:t>
      </w:r>
      <w:r>
        <w:rPr>
          <w:color w:val="000000"/>
          <w:szCs w:val="24"/>
        </w:rPr>
        <w:t xml:space="preserve">in permanent </w:t>
      </w:r>
      <w:r w:rsidRPr="00300651">
        <w:rPr>
          <w:color w:val="000000"/>
          <w:szCs w:val="24"/>
        </w:rPr>
        <w:t>takings cases and</w:t>
      </w:r>
      <w:r>
        <w:rPr>
          <w:color w:val="000000"/>
          <w:szCs w:val="24"/>
        </w:rPr>
        <w:t xml:space="preserve"> estimation of lost </w:t>
      </w:r>
      <w:r w:rsidRPr="00300651">
        <w:rPr>
          <w:color w:val="000000"/>
          <w:szCs w:val="24"/>
        </w:rPr>
        <w:t xml:space="preserve">earnings from business operations </w:t>
      </w:r>
      <w:r>
        <w:rPr>
          <w:color w:val="000000"/>
          <w:szCs w:val="24"/>
        </w:rPr>
        <w:t xml:space="preserve">in </w:t>
      </w:r>
      <w:r w:rsidRPr="00300651">
        <w:rPr>
          <w:color w:val="000000"/>
          <w:szCs w:val="24"/>
        </w:rPr>
        <w:t xml:space="preserve">temporary takings </w:t>
      </w:r>
      <w:r>
        <w:rPr>
          <w:color w:val="000000"/>
          <w:szCs w:val="24"/>
        </w:rPr>
        <w:t>cases</w:t>
      </w:r>
      <w:r w:rsidRPr="00300651">
        <w:rPr>
          <w:color w:val="000000"/>
          <w:szCs w:val="24"/>
        </w:rPr>
        <w:t xml:space="preserve">.  The decision applies a uniquely </w:t>
      </w:r>
      <w:r w:rsidRPr="00300651">
        <w:rPr>
          <w:i/>
          <w:color w:val="000000"/>
          <w:szCs w:val="24"/>
        </w:rPr>
        <w:t>ad hoc</w:t>
      </w:r>
      <w:r w:rsidRPr="00300651">
        <w:rPr>
          <w:color w:val="000000"/>
          <w:szCs w:val="24"/>
        </w:rPr>
        <w:t xml:space="preserve">, confused approach that transubstantiated eggs – a farm product sold for revenues -- into the mistaken denominator parcel.  The court evaluated loss of gross revenues as an </w:t>
      </w:r>
      <w:r w:rsidRPr="00300651">
        <w:rPr>
          <w:i/>
          <w:color w:val="000000"/>
          <w:szCs w:val="24"/>
        </w:rPr>
        <w:t>ad hoc</w:t>
      </w:r>
      <w:r w:rsidRPr="00300651">
        <w:rPr>
          <w:color w:val="000000"/>
          <w:szCs w:val="24"/>
        </w:rPr>
        <w:t xml:space="preserve"> but wholly erroneous measure of decline in value of the parcel.  Lost income was the property right at stake and diminution in rate of return was the correct economic metric.</w:t>
      </w:r>
    </w:p>
    <w:p w:rsidR="00EC0EBF" w:rsidRDefault="00EC0EBF" w:rsidP="004B5912">
      <w:pPr>
        <w:autoSpaceDE w:val="0"/>
        <w:autoSpaceDN w:val="0"/>
        <w:adjustRightInd w:val="0"/>
        <w:rPr>
          <w:szCs w:val="24"/>
        </w:rPr>
      </w:pPr>
    </w:p>
    <w:p w:rsidR="00EC0EBF" w:rsidRPr="00300651" w:rsidRDefault="00EC0EBF" w:rsidP="004B5912">
      <w:pPr>
        <w:autoSpaceDE w:val="0"/>
        <w:autoSpaceDN w:val="0"/>
        <w:adjustRightInd w:val="0"/>
        <w:rPr>
          <w:szCs w:val="24"/>
        </w:rPr>
      </w:pPr>
      <w:r w:rsidRPr="00300651">
        <w:rPr>
          <w:szCs w:val="24"/>
        </w:rPr>
        <w:t>Equating</w:t>
      </w:r>
      <w:r>
        <w:rPr>
          <w:szCs w:val="24"/>
        </w:rPr>
        <w:t xml:space="preserve"> revenues from</w:t>
      </w:r>
      <w:r w:rsidRPr="00300651">
        <w:rPr>
          <w:szCs w:val="24"/>
        </w:rPr>
        <w:t xml:space="preserve"> the sale of eggs with the denominator parcel was the fatal error adopted by the Federal Circuit.  Revenues are correctly </w:t>
      </w:r>
      <w:r>
        <w:rPr>
          <w:szCs w:val="24"/>
        </w:rPr>
        <w:t>measured within</w:t>
      </w:r>
      <w:r w:rsidRPr="00300651">
        <w:rPr>
          <w:szCs w:val="24"/>
        </w:rPr>
        <w:t xml:space="preserve"> the numerator</w:t>
      </w:r>
      <w:r>
        <w:rPr>
          <w:szCs w:val="24"/>
        </w:rPr>
        <w:t xml:space="preserve">. </w:t>
      </w:r>
      <w:r w:rsidRPr="00300651">
        <w:rPr>
          <w:szCs w:val="24"/>
        </w:rPr>
        <w:t xml:space="preserve"> Government expert measured loss of sales of the eggs as only 10.6% and government counsel convinced the court that claimant’s property value was insufficiently reduced to surmount the Penn Central test and justify compensation.</w:t>
      </w:r>
      <w:r>
        <w:rPr>
          <w:szCs w:val="24"/>
        </w:rPr>
        <w:t xml:space="preserve">  Lost income, not p</w:t>
      </w:r>
      <w:r w:rsidRPr="00300651">
        <w:rPr>
          <w:szCs w:val="24"/>
        </w:rPr>
        <w:t>roperty values</w:t>
      </w:r>
      <w:r>
        <w:rPr>
          <w:szCs w:val="24"/>
        </w:rPr>
        <w:t>,</w:t>
      </w:r>
      <w:r w:rsidRPr="00300651">
        <w:rPr>
          <w:szCs w:val="24"/>
        </w:rPr>
        <w:t xml:space="preserve"> w</w:t>
      </w:r>
      <w:r>
        <w:rPr>
          <w:szCs w:val="24"/>
        </w:rPr>
        <w:t>as</w:t>
      </w:r>
      <w:r w:rsidRPr="00300651">
        <w:rPr>
          <w:szCs w:val="24"/>
        </w:rPr>
        <w:t xml:space="preserve"> at stake and no </w:t>
      </w:r>
      <w:r>
        <w:rPr>
          <w:szCs w:val="24"/>
        </w:rPr>
        <w:t xml:space="preserve">competent benchmarking of the severity of economic impact is in the trial record.  </w:t>
      </w:r>
      <w:r w:rsidRPr="00300651">
        <w:rPr>
          <w:szCs w:val="24"/>
        </w:rPr>
        <w:t xml:space="preserve">The Federal Circuit failed to understand that claimant’s profit margin on the sale of eggs was only 2%; therefore, a 10.6% loss of revenues extinguished 100% of profits and rendered a negative rate of return on the three farm properties during the period of the taking, which is not in plaintiff’s testimony or trial record. </w:t>
      </w:r>
    </w:p>
    <w:p w:rsidR="00EC0EBF" w:rsidRDefault="00EC0EBF" w:rsidP="004B5912">
      <w:pPr>
        <w:widowControl/>
        <w:autoSpaceDE w:val="0"/>
        <w:autoSpaceDN w:val="0"/>
        <w:adjustRightInd w:val="0"/>
        <w:rPr>
          <w:szCs w:val="24"/>
        </w:rPr>
      </w:pPr>
    </w:p>
    <w:p w:rsidR="00EC0EBF" w:rsidRPr="00300651" w:rsidRDefault="00EC0EBF" w:rsidP="004B5912">
      <w:pPr>
        <w:widowControl/>
        <w:autoSpaceDE w:val="0"/>
        <w:autoSpaceDN w:val="0"/>
        <w:adjustRightInd w:val="0"/>
        <w:rPr>
          <w:szCs w:val="24"/>
        </w:rPr>
      </w:pPr>
      <w:r w:rsidRPr="00300651">
        <w:rPr>
          <w:szCs w:val="24"/>
        </w:rPr>
        <w:t xml:space="preserve">The economic record of </w:t>
      </w:r>
      <w:r w:rsidRPr="00300651">
        <w:rPr>
          <w:i/>
          <w:iCs/>
          <w:szCs w:val="24"/>
        </w:rPr>
        <w:t xml:space="preserve">Rose Acre V </w:t>
      </w:r>
      <w:r w:rsidRPr="00300651">
        <w:rPr>
          <w:szCs w:val="24"/>
        </w:rPr>
        <w:t xml:space="preserve">and </w:t>
      </w:r>
      <w:r w:rsidRPr="00300651">
        <w:rPr>
          <w:i/>
          <w:iCs/>
          <w:szCs w:val="24"/>
        </w:rPr>
        <w:t xml:space="preserve">VI </w:t>
      </w:r>
      <w:r w:rsidRPr="00300651">
        <w:rPr>
          <w:szCs w:val="24"/>
        </w:rPr>
        <w:t xml:space="preserve">is hopelessly muddled, particularly in the discussions of elements of the </w:t>
      </w:r>
      <w:r w:rsidRPr="00300651">
        <w:rPr>
          <w:i/>
          <w:iCs/>
          <w:szCs w:val="24"/>
        </w:rPr>
        <w:t xml:space="preserve">Penn Central </w:t>
      </w:r>
      <w:r w:rsidRPr="00300651">
        <w:rPr>
          <w:szCs w:val="24"/>
        </w:rPr>
        <w:t>test.</w:t>
      </w:r>
      <w:r w:rsidRPr="00300651">
        <w:rPr>
          <w:rStyle w:val="FootnoteReference"/>
          <w:szCs w:val="24"/>
          <w:vertAlign w:val="superscript"/>
        </w:rPr>
        <w:footnoteReference w:id="63"/>
      </w:r>
      <w:r w:rsidRPr="00300651">
        <w:rPr>
          <w:szCs w:val="24"/>
        </w:rPr>
        <w:t xml:space="preserve">  Whether the denominator was the diverted eggs or the three farms—or neither; whether gross revenues or net profits, lost income or lost value, average marginal costs or average total costs governed the numerator apparently eluded the judges, the parties, and even the experts.</w:t>
      </w:r>
      <w:r>
        <w:rPr>
          <w:szCs w:val="24"/>
        </w:rPr>
        <w:t xml:space="preserve">  In fact, opposing experts measured only revenue losses and agreed on the amount of loss, or economic impact.  Neither expert benchmarked this loss to the investment basis in the property to examine the severity of economic impact.  The DIBE prong of the Penn Central test was not evaluated with standard financial methods; change in return on equity was not calculated.</w:t>
      </w:r>
    </w:p>
    <w:p w:rsidR="00EC0EBF" w:rsidRPr="00300651" w:rsidRDefault="00EC0EBF" w:rsidP="004B5912">
      <w:pPr>
        <w:widowControl/>
        <w:autoSpaceDE w:val="0"/>
        <w:autoSpaceDN w:val="0"/>
        <w:adjustRightInd w:val="0"/>
        <w:rPr>
          <w:szCs w:val="24"/>
        </w:rPr>
      </w:pPr>
      <w:r w:rsidRPr="00300651">
        <w:rPr>
          <w:szCs w:val="24"/>
        </w:rPr>
        <w:t xml:space="preserve">Following </w:t>
      </w:r>
      <w:r w:rsidRPr="00300651">
        <w:rPr>
          <w:i/>
          <w:szCs w:val="24"/>
        </w:rPr>
        <w:t>Florida Rock V</w:t>
      </w:r>
      <w:r w:rsidRPr="00300651">
        <w:rPr>
          <w:szCs w:val="24"/>
        </w:rPr>
        <w:t>, which was not cited in the trial, the investment basis in the Rose Acre Farms, which was not introduced at trial, was the correct basis for the denominator.  The change in profits due to the loss of revenues from lost sales of the eggs was the correct numerator and the change in returns might have revealed a sufficiently severe economic impact to frustrate DIBE.</w:t>
      </w:r>
      <w:r w:rsidRPr="00300651">
        <w:rPr>
          <w:rStyle w:val="FootnoteReference"/>
          <w:szCs w:val="24"/>
          <w:vertAlign w:val="superscript"/>
        </w:rPr>
        <w:footnoteReference w:id="64"/>
      </w:r>
      <w:r w:rsidRPr="00300651">
        <w:rPr>
          <w:szCs w:val="24"/>
        </w:rPr>
        <w:t xml:space="preserve">  Had </w:t>
      </w:r>
      <w:r w:rsidRPr="00300651">
        <w:rPr>
          <w:i/>
          <w:szCs w:val="24"/>
        </w:rPr>
        <w:t>Florida Rock V</w:t>
      </w:r>
      <w:r w:rsidRPr="00300651">
        <w:rPr>
          <w:szCs w:val="24"/>
        </w:rPr>
        <w:t xml:space="preserve"> been followed, the outcome might have turned out differently.</w:t>
      </w:r>
    </w:p>
    <w:p w:rsidR="00EC0EBF" w:rsidRPr="00300651" w:rsidRDefault="00EC0EBF" w:rsidP="004B5912">
      <w:pPr>
        <w:widowControl/>
        <w:autoSpaceDE w:val="0"/>
        <w:autoSpaceDN w:val="0"/>
        <w:adjustRightInd w:val="0"/>
        <w:ind w:left="720" w:hanging="720"/>
        <w:rPr>
          <w:szCs w:val="24"/>
        </w:rPr>
      </w:pPr>
    </w:p>
    <w:p w:rsidR="00EC0EBF" w:rsidRPr="00682B8C" w:rsidRDefault="00EC0EBF" w:rsidP="004B5912">
      <w:pPr>
        <w:widowControl/>
        <w:autoSpaceDE w:val="0"/>
        <w:autoSpaceDN w:val="0"/>
        <w:adjustRightInd w:val="0"/>
        <w:ind w:left="720" w:hanging="720"/>
        <w:rPr>
          <w:b/>
          <w:szCs w:val="24"/>
        </w:rPr>
      </w:pPr>
      <w:r w:rsidRPr="00682B8C">
        <w:rPr>
          <w:b/>
          <w:szCs w:val="24"/>
        </w:rPr>
        <w:t>3.2</w:t>
      </w:r>
      <w:r w:rsidRPr="00682B8C">
        <w:rPr>
          <w:b/>
          <w:szCs w:val="24"/>
        </w:rPr>
        <w:tab/>
        <w:t xml:space="preserve">Federal Circuit abruptly remanded </w:t>
      </w:r>
      <w:r w:rsidRPr="00682B8C">
        <w:rPr>
          <w:b/>
          <w:i/>
          <w:szCs w:val="24"/>
        </w:rPr>
        <w:t>CCA</w:t>
      </w:r>
      <w:r w:rsidRPr="00682B8C">
        <w:rPr>
          <w:b/>
          <w:szCs w:val="24"/>
        </w:rPr>
        <w:t xml:space="preserve">’s thorough Claims Court analysis of loss of income for reconsideration under </w:t>
      </w:r>
      <w:r w:rsidRPr="00682B8C">
        <w:rPr>
          <w:b/>
          <w:i/>
          <w:szCs w:val="24"/>
        </w:rPr>
        <w:t xml:space="preserve">Cienega </w:t>
      </w:r>
      <w:r w:rsidRPr="007027A5">
        <w:rPr>
          <w:b/>
          <w:i/>
          <w:szCs w:val="24"/>
        </w:rPr>
        <w:t>X</w:t>
      </w:r>
      <w:r w:rsidRPr="007027A5">
        <w:rPr>
          <w:b/>
          <w:szCs w:val="24"/>
        </w:rPr>
        <w:t>’s change in property value.</w:t>
      </w:r>
    </w:p>
    <w:p w:rsidR="00EC0EBF" w:rsidRPr="00682B8C" w:rsidRDefault="00EC0EBF" w:rsidP="004B5912">
      <w:pPr>
        <w:autoSpaceDE w:val="0"/>
        <w:autoSpaceDN w:val="0"/>
        <w:adjustRightInd w:val="0"/>
        <w:ind w:left="720" w:hanging="720"/>
        <w:rPr>
          <w:szCs w:val="24"/>
        </w:rPr>
      </w:pPr>
    </w:p>
    <w:p w:rsidR="00EC0EBF" w:rsidRDefault="00EC0EBF" w:rsidP="00363CA8">
      <w:pPr>
        <w:autoSpaceDE w:val="0"/>
        <w:autoSpaceDN w:val="0"/>
        <w:adjustRightInd w:val="0"/>
        <w:rPr>
          <w:i/>
        </w:rPr>
      </w:pPr>
      <w:r w:rsidRPr="00300651">
        <w:t xml:space="preserve">Citing to </w:t>
      </w:r>
      <w:r w:rsidRPr="00300651">
        <w:rPr>
          <w:i/>
        </w:rPr>
        <w:t>Cienega VIII</w:t>
      </w:r>
      <w:r>
        <w:t xml:space="preserve"> and two</w:t>
      </w:r>
      <w:r w:rsidRPr="00300651">
        <w:t>1949 and 1951 Supreme Court cases,</w:t>
      </w:r>
      <w:r w:rsidRPr="00300651">
        <w:rPr>
          <w:rStyle w:val="FootnoteReference"/>
          <w:vertAlign w:val="superscript"/>
        </w:rPr>
        <w:footnoteReference w:id="65"/>
      </w:r>
      <w:r w:rsidRPr="00300651">
        <w:rPr>
          <w:vertAlign w:val="superscript"/>
        </w:rPr>
        <w:t xml:space="preserve"> </w:t>
      </w:r>
      <w:r>
        <w:t>the Federal Claims Court</w:t>
      </w:r>
      <w:r w:rsidRPr="00300651">
        <w:t xml:space="preserve"> concluded in the 2007 CCA decision, “The better measure [for temporary possession of a business enterprise is] the operating losses suffered during the temporary period of government control.”</w:t>
      </w:r>
      <w:r w:rsidRPr="00300651">
        <w:rPr>
          <w:rStyle w:val="FootnoteReference"/>
          <w:vertAlign w:val="superscript"/>
        </w:rPr>
        <w:footnoteReference w:id="66"/>
      </w:r>
      <w:r w:rsidRPr="00300651">
        <w:t xml:space="preserve">  T</w:t>
      </w:r>
      <w:r w:rsidRPr="00300651">
        <w:rPr>
          <w:color w:val="231F20"/>
        </w:rPr>
        <w:t>he decision found an 81.25% diminution of return on equity over the five-year taking period based on lost rental income.</w:t>
      </w:r>
      <w:r w:rsidRPr="00300651">
        <w:rPr>
          <w:rStyle w:val="FootnoteReference"/>
          <w:color w:val="231F20"/>
          <w:vertAlign w:val="superscript"/>
        </w:rPr>
        <w:footnoteReference w:id="67"/>
      </w:r>
      <w:r>
        <w:rPr>
          <w:color w:val="231F20"/>
        </w:rPr>
        <w:t xml:space="preserve">  Whereupon, t</w:t>
      </w:r>
      <w:r w:rsidRPr="00300651">
        <w:rPr>
          <w:szCs w:val="24"/>
        </w:rPr>
        <w:t>he</w:t>
      </w:r>
      <w:r w:rsidRPr="00300651">
        <w:t xml:space="preserve"> federal circuit </w:t>
      </w:r>
      <w:r>
        <w:t>i</w:t>
      </w:r>
      <w:r w:rsidRPr="00300651">
        <w:t>n a four-page decision threw</w:t>
      </w:r>
      <w:r>
        <w:t>-</w:t>
      </w:r>
      <w:r w:rsidRPr="00300651">
        <w:t xml:space="preserve">out Judge Lettow’s careful benchmarking of five years of lost income to CCA’s equity in the trial court finding of a taking, the Federal Circuit’s remanded for “further consideration in accordance with </w:t>
      </w:r>
      <w:r w:rsidRPr="00300651">
        <w:rPr>
          <w:i/>
        </w:rPr>
        <w:t>Cienega X.”</w:t>
      </w:r>
      <w:r w:rsidRPr="00300651">
        <w:rPr>
          <w:rStyle w:val="FootnoteReference"/>
          <w:vertAlign w:val="superscript"/>
        </w:rPr>
        <w:t xml:space="preserve"> </w:t>
      </w:r>
      <w:r w:rsidRPr="00300651">
        <w:rPr>
          <w:rStyle w:val="FootnoteReference"/>
          <w:vertAlign w:val="superscript"/>
        </w:rPr>
        <w:footnoteReference w:id="68"/>
      </w:r>
      <w:r w:rsidRPr="00300651">
        <w:rPr>
          <w:vertAlign w:val="superscript"/>
        </w:rPr>
        <w:t xml:space="preserve">  </w:t>
      </w:r>
      <w:r w:rsidRPr="00300651">
        <w:t xml:space="preserve">Thus, the case came back to Judge Lettow and the economic issues were re-litigated following </w:t>
      </w:r>
      <w:r w:rsidRPr="00300651">
        <w:rPr>
          <w:i/>
        </w:rPr>
        <w:t>Cienega X</w:t>
      </w:r>
      <w:r>
        <w:t xml:space="preserve"> instead</w:t>
      </w:r>
      <w:r w:rsidRPr="00300651">
        <w:t xml:space="preserve"> of </w:t>
      </w:r>
      <w:r w:rsidRPr="00300651">
        <w:rPr>
          <w:i/>
        </w:rPr>
        <w:t>Cienega VIII.</w:t>
      </w:r>
    </w:p>
    <w:p w:rsidR="00EC0EBF" w:rsidRPr="00300651" w:rsidRDefault="00EC0EBF" w:rsidP="004B5912">
      <w:pPr>
        <w:widowControl/>
        <w:autoSpaceDE w:val="0"/>
        <w:autoSpaceDN w:val="0"/>
        <w:adjustRightInd w:val="0"/>
      </w:pPr>
    </w:p>
    <w:p w:rsidR="00EC0EBF" w:rsidRPr="00300651" w:rsidRDefault="00EC0EBF" w:rsidP="004B5912">
      <w:pPr>
        <w:autoSpaceDE w:val="0"/>
        <w:autoSpaceDN w:val="0"/>
        <w:adjustRightInd w:val="0"/>
      </w:pPr>
      <w:r w:rsidRPr="00300651">
        <w:t xml:space="preserve">Not surprisingly, CCA Associates’ post-trial memorandum put the court on notice that they were playing under protest of the </w:t>
      </w:r>
      <w:r w:rsidRPr="00300651">
        <w:rPr>
          <w:i/>
        </w:rPr>
        <w:t>Cienega X</w:t>
      </w:r>
      <w:r w:rsidRPr="00300651">
        <w:t xml:space="preserve"> </w:t>
      </w:r>
      <w:r w:rsidRPr="00300651">
        <w:rPr>
          <w:i/>
        </w:rPr>
        <w:t>Penn Central</w:t>
      </w:r>
      <w:r w:rsidRPr="00300651">
        <w:t xml:space="preserve"> rules.</w:t>
      </w:r>
    </w:p>
    <w:p w:rsidR="00EC0EBF" w:rsidRPr="00300651" w:rsidRDefault="00EC0EBF" w:rsidP="004B5912">
      <w:pPr>
        <w:autoSpaceDE w:val="0"/>
        <w:autoSpaceDN w:val="0"/>
        <w:adjustRightInd w:val="0"/>
      </w:pPr>
    </w:p>
    <w:p w:rsidR="00EC0EBF" w:rsidRDefault="00EC0EBF" w:rsidP="004B5912">
      <w:pPr>
        <w:autoSpaceDE w:val="0"/>
        <w:autoSpaceDN w:val="0"/>
        <w:adjustRightInd w:val="0"/>
        <w:ind w:left="540"/>
      </w:pPr>
      <w:r>
        <w:t>“</w:t>
      </w:r>
      <w:r w:rsidRPr="00300651">
        <w:t xml:space="preserve">CCA acknowledges that this Court generally must apply the </w:t>
      </w:r>
      <w:r w:rsidRPr="00300651">
        <w:rPr>
          <w:i/>
          <w:iCs/>
        </w:rPr>
        <w:t xml:space="preserve">Cienega X </w:t>
      </w:r>
      <w:r w:rsidRPr="00300651">
        <w:t xml:space="preserve">analysis, notwithstanding the fact that this analysis directly conflicts with the Federal Circuit’s decision in </w:t>
      </w:r>
      <w:r w:rsidRPr="00300651">
        <w:rPr>
          <w:i/>
          <w:iCs/>
        </w:rPr>
        <w:t>Cienega VIII</w:t>
      </w:r>
      <w:r w:rsidRPr="00300651">
        <w:t xml:space="preserve">.  However, CCA preserves herein its argument that </w:t>
      </w:r>
      <w:r w:rsidRPr="00300651">
        <w:rPr>
          <w:i/>
          <w:iCs/>
        </w:rPr>
        <w:t>Cienega X</w:t>
      </w:r>
      <w:r w:rsidRPr="00300651">
        <w:t>’s “lifetime value” approach to measuring economic impact is contrary to United States Supreme Court precedents, contrary to Federal Circuit precedents, and contrary to sound policy.</w:t>
      </w:r>
      <w:r>
        <w:t>”</w:t>
      </w:r>
      <w:r w:rsidRPr="00300651">
        <w:rPr>
          <w:rStyle w:val="FootnoteReference"/>
          <w:vertAlign w:val="superscript"/>
        </w:rPr>
        <w:footnoteReference w:id="69"/>
      </w:r>
    </w:p>
    <w:p w:rsidR="00EC0EBF" w:rsidRPr="00300651" w:rsidRDefault="00EC0EBF" w:rsidP="004B5912">
      <w:pPr>
        <w:autoSpaceDE w:val="0"/>
        <w:autoSpaceDN w:val="0"/>
        <w:adjustRightInd w:val="0"/>
        <w:ind w:left="1170"/>
      </w:pPr>
    </w:p>
    <w:p w:rsidR="00EC0EBF" w:rsidRPr="00300651" w:rsidRDefault="00EC0EBF" w:rsidP="004B5912">
      <w:pPr>
        <w:autoSpaceDE w:val="0"/>
        <w:autoSpaceDN w:val="0"/>
        <w:adjustRightInd w:val="0"/>
      </w:pPr>
      <w:r w:rsidRPr="00300651">
        <w:t xml:space="preserve">Following the Before and After approach of </w:t>
      </w:r>
      <w:r w:rsidRPr="00300651">
        <w:rPr>
          <w:i/>
        </w:rPr>
        <w:t>Cienega X</w:t>
      </w:r>
      <w:r w:rsidRPr="00300651">
        <w:t>, the parties agreed that the building value had been reduced 18% by the five-years of rental income losses.  The Claims Court again found for the claimant:</w:t>
      </w:r>
    </w:p>
    <w:p w:rsidR="00EC0EBF" w:rsidRPr="00300651" w:rsidRDefault="00EC0EBF" w:rsidP="004B5912">
      <w:pPr>
        <w:autoSpaceDE w:val="0"/>
        <w:autoSpaceDN w:val="0"/>
        <w:adjustRightInd w:val="0"/>
        <w:ind w:left="720" w:hanging="720"/>
      </w:pPr>
    </w:p>
    <w:p w:rsidR="00EC0EBF" w:rsidRPr="00300651" w:rsidRDefault="00EC0EBF" w:rsidP="004B5912">
      <w:pPr>
        <w:autoSpaceDE w:val="0"/>
        <w:autoSpaceDN w:val="0"/>
        <w:adjustRightInd w:val="0"/>
        <w:ind w:left="540"/>
      </w:pPr>
      <w:r>
        <w:t>“</w:t>
      </w:r>
      <w:r w:rsidRPr="00300651">
        <w:t>As a result of the temporary taking, and considering the entire, whole, useful life of [its apartment complex], CCA suffered an 18% economic loss in its total market value. In determining how far is too far, there is “no magic number,” and “no set formula.” Here, an 18% economic loss concentrated over approximately five years constitutes a “serious financial loss.” The duration of the deprivation, five years and ten days, is significant in this regard. . . . The economic loss suffered here, when combined with the character of the government’s actions and CCA’s reasonable investment-backed expectations, which both factor heavily in CCA’s favor, is sufficient to establish that CCA suffered a temporary regulatory taking.</w:t>
      </w:r>
      <w:r w:rsidRPr="00300651">
        <w:rPr>
          <w:rStyle w:val="FootnoteReference"/>
          <w:vertAlign w:val="superscript"/>
        </w:rPr>
        <w:footnoteReference w:id="70"/>
      </w:r>
    </w:p>
    <w:p w:rsidR="00EC0EBF" w:rsidRPr="002A1FD0" w:rsidRDefault="00EC0EBF" w:rsidP="004B5912">
      <w:pPr>
        <w:autoSpaceDE w:val="0"/>
        <w:autoSpaceDN w:val="0"/>
        <w:adjustRightInd w:val="0"/>
        <w:ind w:left="1440" w:firstLine="60"/>
        <w:rPr>
          <w:szCs w:val="24"/>
        </w:rPr>
      </w:pPr>
    </w:p>
    <w:p w:rsidR="00EC0EBF" w:rsidRDefault="00EC0EBF" w:rsidP="002A1FD0">
      <w:pPr>
        <w:pStyle w:val="FootnoteText"/>
        <w:spacing w:after="0"/>
      </w:pPr>
      <w:r w:rsidRPr="002A1FD0">
        <w:rPr>
          <w:color w:val="231F20"/>
          <w:sz w:val="24"/>
          <w:szCs w:val="24"/>
        </w:rPr>
        <w:t xml:space="preserve">One wonders how the Federal Circuit will deal with the 18% diminution in property value as the basis for a taking decision following the government’s appeal filed July 20, 2010.  </w:t>
      </w:r>
      <w:r w:rsidRPr="002A1FD0">
        <w:rPr>
          <w:sz w:val="24"/>
          <w:szCs w:val="24"/>
        </w:rPr>
        <w:t xml:space="preserve">This value, in fact, does not measure the all-important </w:t>
      </w:r>
      <w:r w:rsidRPr="002A1FD0">
        <w:rPr>
          <w:i/>
          <w:sz w:val="24"/>
          <w:szCs w:val="24"/>
        </w:rPr>
        <w:t>Penn Central</w:t>
      </w:r>
      <w:r w:rsidRPr="002A1FD0">
        <w:rPr>
          <w:sz w:val="24"/>
          <w:szCs w:val="24"/>
        </w:rPr>
        <w:t xml:space="preserve"> test prong: frustration of distinct investment-backed expectation.  The 18% value only measures the diminution in value, or the economic impact prong of the Penn Central test.  </w:t>
      </w:r>
      <w:r w:rsidRPr="002A1FD0">
        <w:rPr>
          <w:i/>
          <w:sz w:val="24"/>
          <w:szCs w:val="24"/>
        </w:rPr>
        <w:t>Cienega X</w:t>
      </w:r>
      <w:r w:rsidRPr="002A1FD0">
        <w:rPr>
          <w:sz w:val="24"/>
          <w:szCs w:val="24"/>
        </w:rPr>
        <w:t xml:space="preserve"> precluded Ju</w:t>
      </w:r>
      <w:r>
        <w:rPr>
          <w:sz w:val="24"/>
          <w:szCs w:val="24"/>
        </w:rPr>
        <w:t xml:space="preserve">dge Lettow from comparing income </w:t>
      </w:r>
      <w:r w:rsidRPr="002A1FD0">
        <w:rPr>
          <w:sz w:val="24"/>
          <w:szCs w:val="24"/>
        </w:rPr>
        <w:t>losses to</w:t>
      </w:r>
      <w:r>
        <w:rPr>
          <w:sz w:val="24"/>
          <w:szCs w:val="24"/>
        </w:rPr>
        <w:t xml:space="preserve"> owners’</w:t>
      </w:r>
      <w:r w:rsidRPr="002A1FD0">
        <w:rPr>
          <w:sz w:val="24"/>
          <w:szCs w:val="24"/>
        </w:rPr>
        <w:t xml:space="preserve"> equity in the remand trial.  </w:t>
      </w:r>
      <w:r>
        <w:rPr>
          <w:sz w:val="24"/>
          <w:szCs w:val="24"/>
        </w:rPr>
        <w:t>Hence, the 18% number is</w:t>
      </w:r>
      <w:r w:rsidRPr="002A1FD0">
        <w:rPr>
          <w:sz w:val="24"/>
          <w:szCs w:val="24"/>
        </w:rPr>
        <w:t xml:space="preserve"> not </w:t>
      </w:r>
      <w:r>
        <w:rPr>
          <w:sz w:val="24"/>
          <w:szCs w:val="24"/>
        </w:rPr>
        <w:t>benchmarked</w:t>
      </w:r>
      <w:r w:rsidRPr="002A1FD0">
        <w:rPr>
          <w:sz w:val="24"/>
          <w:szCs w:val="24"/>
        </w:rPr>
        <w:t xml:space="preserve"> to a proper denominator.  </w:t>
      </w:r>
      <w:r>
        <w:rPr>
          <w:sz w:val="24"/>
          <w:szCs w:val="24"/>
        </w:rPr>
        <w:t>T</w:t>
      </w:r>
      <w:r w:rsidRPr="002A1FD0">
        <w:rPr>
          <w:sz w:val="24"/>
          <w:szCs w:val="24"/>
        </w:rPr>
        <w:t xml:space="preserve">he same problem confounded the </w:t>
      </w:r>
      <w:r w:rsidRPr="002A1FD0">
        <w:rPr>
          <w:i/>
          <w:sz w:val="24"/>
          <w:szCs w:val="24"/>
        </w:rPr>
        <w:t>Rose Acre</w:t>
      </w:r>
      <w:r w:rsidRPr="002A1FD0">
        <w:rPr>
          <w:sz w:val="24"/>
          <w:szCs w:val="24"/>
        </w:rPr>
        <w:t xml:space="preserve"> </w:t>
      </w:r>
      <w:r w:rsidRPr="002A1FD0">
        <w:rPr>
          <w:i/>
          <w:sz w:val="24"/>
          <w:szCs w:val="24"/>
        </w:rPr>
        <w:t xml:space="preserve">VI </w:t>
      </w:r>
      <w:r w:rsidRPr="002A1FD0">
        <w:rPr>
          <w:sz w:val="24"/>
          <w:szCs w:val="24"/>
        </w:rPr>
        <w:t xml:space="preserve">decision; change in revenues is </w:t>
      </w:r>
      <w:r>
        <w:rPr>
          <w:sz w:val="24"/>
          <w:szCs w:val="24"/>
        </w:rPr>
        <w:t>only one prong of the</w:t>
      </w:r>
      <w:r w:rsidRPr="002A1FD0">
        <w:rPr>
          <w:sz w:val="24"/>
          <w:szCs w:val="24"/>
        </w:rPr>
        <w:t xml:space="preserve"> Penn Central test.  It is only a measure of the economic impact and does not evaluate the severity of the economic impact </w:t>
      </w:r>
      <w:r w:rsidRPr="0082169B">
        <w:rPr>
          <w:i/>
          <w:sz w:val="24"/>
          <w:szCs w:val="24"/>
        </w:rPr>
        <w:t>vis a vis</w:t>
      </w:r>
      <w:r w:rsidRPr="002A1FD0">
        <w:rPr>
          <w:sz w:val="24"/>
          <w:szCs w:val="24"/>
        </w:rPr>
        <w:t xml:space="preserve"> DIBE.</w:t>
      </w:r>
    </w:p>
    <w:p w:rsidR="00EC0EBF" w:rsidRDefault="00EC0EBF" w:rsidP="004B5912">
      <w:pPr>
        <w:autoSpaceDE w:val="0"/>
        <w:autoSpaceDN w:val="0"/>
        <w:adjustRightInd w:val="0"/>
      </w:pPr>
    </w:p>
    <w:p w:rsidR="00EC0EBF" w:rsidRDefault="00EC0EBF" w:rsidP="004B5912">
      <w:pPr>
        <w:autoSpaceDE w:val="0"/>
        <w:autoSpaceDN w:val="0"/>
        <w:adjustRightInd w:val="0"/>
      </w:pPr>
      <w:r w:rsidRPr="00300651">
        <w:t xml:space="preserve">The </w:t>
      </w:r>
      <w:r w:rsidRPr="002A1FD0">
        <w:rPr>
          <w:i/>
        </w:rPr>
        <w:t>CCA III</w:t>
      </w:r>
      <w:r w:rsidRPr="00300651">
        <w:t xml:space="preserve"> decision’s</w:t>
      </w:r>
      <w:r>
        <w:t xml:space="preserve"> reliance on</w:t>
      </w:r>
      <w:r w:rsidRPr="00300651">
        <w:t>18% diminution in building market value ignore</w:t>
      </w:r>
      <w:r>
        <w:t>d</w:t>
      </w:r>
      <w:r w:rsidRPr="00300651">
        <w:t xml:space="preserve"> the point of </w:t>
      </w:r>
      <w:r w:rsidRPr="00300651">
        <w:rPr>
          <w:i/>
          <w:iCs/>
        </w:rPr>
        <w:t xml:space="preserve">Florida Rock V’s </w:t>
      </w:r>
      <w:r w:rsidRPr="00300651">
        <w:rPr>
          <w:iCs/>
        </w:rPr>
        <w:t>seminal</w:t>
      </w:r>
      <w:r w:rsidRPr="00300651">
        <w:rPr>
          <w:i/>
          <w:iCs/>
        </w:rPr>
        <w:t xml:space="preserve"> </w:t>
      </w:r>
      <w:r w:rsidRPr="00300651">
        <w:t>decision that diminution in value of the property is not dispositive of the s</w:t>
      </w:r>
      <w:r>
        <w:t>everity of the economic impact.  D</w:t>
      </w:r>
      <w:r w:rsidRPr="00300651">
        <w:t>iminution alone is not sufficient to reveal whether economic viability has been destroyed</w:t>
      </w:r>
      <w:r>
        <w:t xml:space="preserve">, which must be determined with reference to the second economic prong of Penn Central – frustration of DIBE, a simple and definitive mathematical calculation for expert economists.  </w:t>
      </w:r>
    </w:p>
    <w:p w:rsidR="00EC0EBF" w:rsidRPr="00300651" w:rsidRDefault="00EC0EBF" w:rsidP="004B5912">
      <w:pPr>
        <w:autoSpaceDE w:val="0"/>
        <w:autoSpaceDN w:val="0"/>
        <w:adjustRightInd w:val="0"/>
        <w:rPr>
          <w:vertAlign w:val="superscript"/>
        </w:rPr>
      </w:pPr>
    </w:p>
    <w:p w:rsidR="00EC0EBF" w:rsidRPr="00300651" w:rsidRDefault="00EC0EBF" w:rsidP="004B5912">
      <w:pPr>
        <w:autoSpaceDE w:val="0"/>
        <w:autoSpaceDN w:val="0"/>
        <w:adjustRightInd w:val="0"/>
      </w:pPr>
      <w:r w:rsidRPr="00300651">
        <w:t xml:space="preserve">The guiding </w:t>
      </w:r>
      <w:r w:rsidRPr="00300651">
        <w:rPr>
          <w:i/>
        </w:rPr>
        <w:t>Cienega X</w:t>
      </w:r>
      <w:r w:rsidRPr="00300651">
        <w:t xml:space="preserve"> decision fails to grasp what the Supreme Court had known for decades; i.e., that a</w:t>
      </w:r>
      <w:r w:rsidRPr="00300651">
        <w:rPr>
          <w:color w:val="231F20"/>
        </w:rPr>
        <w:t xml:space="preserve">ppraisal approaches may measure a change in market value for real property--tangible assets--but they cannot accurately measure income losses for income-producing properties. </w:t>
      </w:r>
      <w:r>
        <w:rPr>
          <w:color w:val="231F20"/>
        </w:rPr>
        <w:t xml:space="preserve"> </w:t>
      </w:r>
      <w:r>
        <w:t>T</w:t>
      </w:r>
      <w:r w:rsidRPr="00300651">
        <w:t>he government in its appeal brief continue</w:t>
      </w:r>
      <w:r>
        <w:t>d</w:t>
      </w:r>
      <w:r w:rsidRPr="00300651">
        <w:t xml:space="preserve"> to argue change in value citing the usual list of cases where percent diminution much greater than 18 percent were not ruled a taking, including on the list irrelevant cases that were decided on nuisance or harm prevented. </w:t>
      </w:r>
    </w:p>
    <w:p w:rsidR="00EC0EBF" w:rsidRPr="00300651" w:rsidRDefault="00EC0EBF" w:rsidP="004B5912">
      <w:pPr>
        <w:spacing w:before="180"/>
        <w:ind w:left="450"/>
        <w:rPr>
          <w:spacing w:val="-3"/>
          <w:szCs w:val="24"/>
        </w:rPr>
      </w:pPr>
      <w:r>
        <w:rPr>
          <w:spacing w:val="-1"/>
          <w:szCs w:val="24"/>
        </w:rPr>
        <w:t>“</w:t>
      </w:r>
      <w:r w:rsidRPr="00300651">
        <w:rPr>
          <w:spacing w:val="-1"/>
          <w:szCs w:val="24"/>
        </w:rPr>
        <w:t xml:space="preserve">Accepting the trial court's assertion that "an 18% economic loss </w:t>
      </w:r>
      <w:r w:rsidRPr="00300651">
        <w:rPr>
          <w:szCs w:val="24"/>
        </w:rPr>
        <w:t>concentrated over approximately five years constitutes a 'serious financial loss</w:t>
      </w:r>
      <w:r w:rsidRPr="00300651">
        <w:rPr>
          <w:spacing w:val="-2"/>
          <w:szCs w:val="24"/>
        </w:rPr>
        <w:t xml:space="preserve"> would run counter to decades of regulatory takings jurisprudence and </w:t>
      </w:r>
      <w:r w:rsidRPr="00300651">
        <w:rPr>
          <w:szCs w:val="24"/>
        </w:rPr>
        <w:t>dramatically lower the bar for takings claimants.</w:t>
      </w:r>
      <w:r>
        <w:rPr>
          <w:szCs w:val="24"/>
        </w:rPr>
        <w:t>”</w:t>
      </w:r>
      <w:r w:rsidRPr="00300651">
        <w:rPr>
          <w:rStyle w:val="FootnoteReference"/>
          <w:szCs w:val="24"/>
          <w:vertAlign w:val="superscript"/>
        </w:rPr>
        <w:footnoteReference w:id="71"/>
      </w:r>
      <w:r w:rsidRPr="00300651">
        <w:rPr>
          <w:szCs w:val="24"/>
          <w:vertAlign w:val="superscript"/>
        </w:rPr>
        <w:t xml:space="preserve">  </w:t>
      </w:r>
    </w:p>
    <w:p w:rsidR="00EC0EBF" w:rsidRDefault="00EC0EBF" w:rsidP="002A1FD0">
      <w:pPr>
        <w:autoSpaceDE w:val="0"/>
        <w:autoSpaceDN w:val="0"/>
        <w:adjustRightInd w:val="0"/>
      </w:pPr>
      <w:r w:rsidRPr="00F429C7">
        <w:rPr>
          <w:color w:val="000000"/>
          <w:szCs w:val="24"/>
        </w:rPr>
        <w:t xml:space="preserve">The real property, of course, was not taken </w:t>
      </w:r>
      <w:r>
        <w:rPr>
          <w:color w:val="000000"/>
          <w:szCs w:val="24"/>
        </w:rPr>
        <w:t>or</w:t>
      </w:r>
      <w:r w:rsidRPr="00F429C7">
        <w:rPr>
          <w:color w:val="000000"/>
          <w:szCs w:val="24"/>
        </w:rPr>
        <w:t xml:space="preserve"> at issue.  </w:t>
      </w:r>
      <w:r>
        <w:rPr>
          <w:color w:val="000000"/>
          <w:szCs w:val="24"/>
        </w:rPr>
        <w:t>T</w:t>
      </w:r>
      <w:r w:rsidRPr="00F429C7">
        <w:rPr>
          <w:color w:val="000000"/>
          <w:szCs w:val="24"/>
        </w:rPr>
        <w:t xml:space="preserve">he </w:t>
      </w:r>
      <w:r>
        <w:rPr>
          <w:color w:val="000000"/>
          <w:szCs w:val="24"/>
        </w:rPr>
        <w:t>government</w:t>
      </w:r>
      <w:r w:rsidRPr="00F429C7">
        <w:rPr>
          <w:color w:val="000000"/>
          <w:szCs w:val="24"/>
        </w:rPr>
        <w:t xml:space="preserve"> </w:t>
      </w:r>
      <w:r>
        <w:rPr>
          <w:color w:val="000000"/>
          <w:szCs w:val="24"/>
        </w:rPr>
        <w:t>confounds</w:t>
      </w:r>
      <w:r w:rsidRPr="00F429C7">
        <w:rPr>
          <w:color w:val="000000"/>
          <w:szCs w:val="24"/>
        </w:rPr>
        <w:t xml:space="preserve"> the</w:t>
      </w:r>
      <w:r>
        <w:rPr>
          <w:color w:val="000000"/>
          <w:szCs w:val="24"/>
        </w:rPr>
        <w:t xml:space="preserve"> all-critical denominator value</w:t>
      </w:r>
      <w:r w:rsidRPr="00F429C7">
        <w:rPr>
          <w:color w:val="000000"/>
          <w:szCs w:val="24"/>
        </w:rPr>
        <w:t xml:space="preserve"> against which to measure the severity of economic impact.</w:t>
      </w:r>
      <w:r w:rsidRPr="00F429C7">
        <w:rPr>
          <w:rStyle w:val="FootnoteReference"/>
          <w:color w:val="000000"/>
          <w:szCs w:val="24"/>
          <w:vertAlign w:val="superscript"/>
        </w:rPr>
        <w:footnoteReference w:id="72"/>
      </w:r>
      <w:r w:rsidRPr="00F429C7">
        <w:rPr>
          <w:color w:val="000000"/>
          <w:szCs w:val="24"/>
          <w:vertAlign w:val="superscript"/>
        </w:rPr>
        <w:t xml:space="preserve"> </w:t>
      </w:r>
      <w:r w:rsidRPr="00F429C7">
        <w:rPr>
          <w:color w:val="000000"/>
          <w:szCs w:val="24"/>
        </w:rPr>
        <w:t xml:space="preserve"> </w:t>
      </w:r>
      <w:r>
        <w:rPr>
          <w:color w:val="000000"/>
          <w:szCs w:val="24"/>
        </w:rPr>
        <w:t xml:space="preserve">  </w:t>
      </w:r>
      <w:r w:rsidRPr="00F429C7">
        <w:rPr>
          <w:color w:val="000000"/>
          <w:szCs w:val="24"/>
        </w:rPr>
        <w:t>The</w:t>
      </w:r>
      <w:r>
        <w:rPr>
          <w:color w:val="000000"/>
          <w:szCs w:val="24"/>
        </w:rPr>
        <w:t xml:space="preserve"> government’s</w:t>
      </w:r>
      <w:r w:rsidRPr="00F429C7">
        <w:rPr>
          <w:color w:val="000000"/>
          <w:szCs w:val="24"/>
        </w:rPr>
        <w:t xml:space="preserve"> </w:t>
      </w:r>
      <w:r>
        <w:rPr>
          <w:color w:val="000000"/>
          <w:szCs w:val="24"/>
        </w:rPr>
        <w:t xml:space="preserve">notion of “settled law” articulated at note seven above </w:t>
      </w:r>
      <w:r w:rsidRPr="00F429C7">
        <w:rPr>
          <w:color w:val="000000"/>
          <w:szCs w:val="24"/>
        </w:rPr>
        <w:t xml:space="preserve">does not </w:t>
      </w:r>
      <w:r>
        <w:rPr>
          <w:color w:val="000000"/>
          <w:szCs w:val="24"/>
        </w:rPr>
        <w:t xml:space="preserve">evaluate </w:t>
      </w:r>
      <w:r w:rsidRPr="00F429C7">
        <w:rPr>
          <w:color w:val="000000"/>
          <w:szCs w:val="24"/>
        </w:rPr>
        <w:t>the two economic prongs of the Penn Central test with competen</w:t>
      </w:r>
      <w:r>
        <w:rPr>
          <w:color w:val="000000"/>
          <w:szCs w:val="24"/>
        </w:rPr>
        <w:t>t measures of the lost income and</w:t>
      </w:r>
      <w:r w:rsidRPr="00F429C7">
        <w:rPr>
          <w:color w:val="000000"/>
          <w:szCs w:val="24"/>
        </w:rPr>
        <w:t xml:space="preserve"> the investment basis that should serve as the denominator of takings fraction.  </w:t>
      </w:r>
      <w:r>
        <w:rPr>
          <w:szCs w:val="24"/>
        </w:rPr>
        <w:t>The 18% calculated</w:t>
      </w:r>
      <w:r w:rsidRPr="00F429C7">
        <w:rPr>
          <w:szCs w:val="24"/>
        </w:rPr>
        <w:t xml:space="preserve"> </w:t>
      </w:r>
      <w:r>
        <w:rPr>
          <w:szCs w:val="24"/>
        </w:rPr>
        <w:t xml:space="preserve">diminution in </w:t>
      </w:r>
      <w:r w:rsidRPr="00F429C7">
        <w:rPr>
          <w:szCs w:val="24"/>
        </w:rPr>
        <w:t>value</w:t>
      </w:r>
      <w:r>
        <w:rPr>
          <w:szCs w:val="24"/>
        </w:rPr>
        <w:t xml:space="preserve"> of the real property, taking account of income for the life of the rental building,</w:t>
      </w:r>
      <w:r w:rsidRPr="00F429C7">
        <w:rPr>
          <w:szCs w:val="24"/>
        </w:rPr>
        <w:t xml:space="preserve"> is not a competent bas</w:t>
      </w:r>
      <w:r>
        <w:rPr>
          <w:szCs w:val="24"/>
        </w:rPr>
        <w:t xml:space="preserve">is to evaluate severity of economic impact.  </w:t>
      </w:r>
      <w:r w:rsidRPr="00300651">
        <w:t xml:space="preserve">The value of the real property is composed of both equity and debt. </w:t>
      </w:r>
      <w:r>
        <w:t xml:space="preserve"> </w:t>
      </w:r>
      <w:r w:rsidRPr="00300651">
        <w:t>The stipulated 18% change in value does not reveal the effect of the lost income benchmarked to equity alone.</w:t>
      </w:r>
      <w:r>
        <w:t xml:space="preserve">  </w:t>
      </w:r>
    </w:p>
    <w:p w:rsidR="00EC0EBF" w:rsidRDefault="00EC0EBF" w:rsidP="004B5912">
      <w:pPr>
        <w:widowControl/>
        <w:autoSpaceDE w:val="0"/>
        <w:autoSpaceDN w:val="0"/>
        <w:adjustRightInd w:val="0"/>
        <w:snapToGrid w:val="0"/>
        <w:rPr>
          <w:color w:val="000000"/>
          <w:szCs w:val="24"/>
        </w:rPr>
      </w:pPr>
    </w:p>
    <w:p w:rsidR="00EC0EBF" w:rsidRDefault="00EC0EBF" w:rsidP="004B5912">
      <w:pPr>
        <w:widowControl/>
        <w:autoSpaceDE w:val="0"/>
        <w:autoSpaceDN w:val="0"/>
        <w:adjustRightInd w:val="0"/>
        <w:snapToGrid w:val="0"/>
        <w:rPr>
          <w:color w:val="000000"/>
          <w:szCs w:val="24"/>
        </w:rPr>
      </w:pPr>
      <w:r w:rsidRPr="00300651">
        <w:rPr>
          <w:color w:val="000000"/>
          <w:szCs w:val="24"/>
        </w:rPr>
        <w:t xml:space="preserve">Until such time that the Federal Circuit or the Supreme Court corrects the specious analysis of severity of economic impact adopted in </w:t>
      </w:r>
      <w:r w:rsidRPr="00300651">
        <w:rPr>
          <w:i/>
          <w:color w:val="000000"/>
          <w:szCs w:val="24"/>
        </w:rPr>
        <w:t>Cienega X</w:t>
      </w:r>
      <w:r w:rsidRPr="00300651">
        <w:rPr>
          <w:color w:val="000000"/>
          <w:szCs w:val="24"/>
        </w:rPr>
        <w:t xml:space="preserve"> and made by the government in this case and </w:t>
      </w:r>
      <w:r w:rsidRPr="00300651">
        <w:rPr>
          <w:i/>
          <w:color w:val="000000"/>
          <w:szCs w:val="24"/>
        </w:rPr>
        <w:t xml:space="preserve">Rose Acre Farms, </w:t>
      </w:r>
      <w:r w:rsidRPr="00300651">
        <w:rPr>
          <w:color w:val="000000"/>
          <w:szCs w:val="24"/>
        </w:rPr>
        <w:t xml:space="preserve">opposing counsel will go on arguing what percentage diminution in property value is sufficient to justify compensation – a measure shown to be not dispositive in </w:t>
      </w:r>
      <w:r w:rsidRPr="00300651">
        <w:rPr>
          <w:i/>
          <w:color w:val="000000"/>
          <w:szCs w:val="24"/>
        </w:rPr>
        <w:t xml:space="preserve">Florida Rock V </w:t>
      </w:r>
      <w:r w:rsidRPr="00300651">
        <w:rPr>
          <w:color w:val="000000"/>
          <w:szCs w:val="24"/>
        </w:rPr>
        <w:t xml:space="preserve">and textbook economics. </w:t>
      </w:r>
      <w:r>
        <w:rPr>
          <w:color w:val="000000"/>
          <w:szCs w:val="24"/>
        </w:rPr>
        <w:t xml:space="preserve"> The change in value approach espoused in </w:t>
      </w:r>
      <w:r w:rsidRPr="00084DE7">
        <w:rPr>
          <w:i/>
          <w:color w:val="000000"/>
          <w:szCs w:val="24"/>
        </w:rPr>
        <w:t>Cienega X</w:t>
      </w:r>
      <w:r>
        <w:rPr>
          <w:color w:val="000000"/>
          <w:szCs w:val="24"/>
        </w:rPr>
        <w:t xml:space="preserve"> is only one prong of the Penn Central test and not sufficient to reveal frustration of DIBE; the comparison of change in cash flows during the taking period with cash flows for the life of the project eliminates temporary taking of income as a legal doctrine.  </w:t>
      </w:r>
    </w:p>
    <w:p w:rsidR="00EC0EBF" w:rsidRDefault="00EC0EBF" w:rsidP="004B5912">
      <w:pPr>
        <w:widowControl/>
        <w:autoSpaceDE w:val="0"/>
        <w:autoSpaceDN w:val="0"/>
        <w:adjustRightInd w:val="0"/>
        <w:snapToGrid w:val="0"/>
        <w:rPr>
          <w:color w:val="000000"/>
          <w:szCs w:val="24"/>
        </w:rPr>
      </w:pPr>
    </w:p>
    <w:p w:rsidR="00EC0EBF" w:rsidRPr="00975E00" w:rsidRDefault="00EC0EBF" w:rsidP="00975E00">
      <w:pPr>
        <w:widowControl/>
        <w:autoSpaceDE w:val="0"/>
        <w:autoSpaceDN w:val="0"/>
        <w:adjustRightInd w:val="0"/>
        <w:snapToGrid w:val="0"/>
        <w:ind w:left="720" w:hanging="720"/>
        <w:rPr>
          <w:b/>
          <w:color w:val="000000"/>
          <w:szCs w:val="24"/>
        </w:rPr>
      </w:pPr>
      <w:r w:rsidRPr="00975E00">
        <w:rPr>
          <w:b/>
          <w:color w:val="000000"/>
          <w:szCs w:val="24"/>
        </w:rPr>
        <w:t xml:space="preserve">4. </w:t>
      </w:r>
      <w:r w:rsidRPr="00975E00">
        <w:rPr>
          <w:b/>
          <w:color w:val="000000"/>
          <w:szCs w:val="24"/>
        </w:rPr>
        <w:tab/>
        <w:t xml:space="preserve">Conclusions: </w:t>
      </w:r>
      <w:r w:rsidRPr="00975E00">
        <w:rPr>
          <w:b/>
          <w:i/>
          <w:color w:val="000000"/>
          <w:szCs w:val="24"/>
        </w:rPr>
        <w:t>Florida Rock V</w:t>
      </w:r>
      <w:r w:rsidRPr="00975E00">
        <w:rPr>
          <w:b/>
          <w:color w:val="000000"/>
          <w:szCs w:val="24"/>
        </w:rPr>
        <w:t xml:space="preserve"> and </w:t>
      </w:r>
      <w:r w:rsidRPr="00975E00">
        <w:rPr>
          <w:b/>
          <w:i/>
          <w:color w:val="000000"/>
          <w:szCs w:val="24"/>
        </w:rPr>
        <w:t>Cienega Gardens VIII</w:t>
      </w:r>
      <w:r w:rsidRPr="00975E00">
        <w:rPr>
          <w:b/>
          <w:color w:val="000000"/>
          <w:szCs w:val="24"/>
        </w:rPr>
        <w:t xml:space="preserve"> </w:t>
      </w:r>
      <w:r>
        <w:rPr>
          <w:b/>
          <w:color w:val="000000"/>
          <w:szCs w:val="24"/>
        </w:rPr>
        <w:t xml:space="preserve">embed </w:t>
      </w:r>
      <w:r w:rsidRPr="00975E00">
        <w:rPr>
          <w:b/>
          <w:color w:val="000000"/>
          <w:szCs w:val="24"/>
        </w:rPr>
        <w:t>seminal applications of standard economic theories and valuation practice</w:t>
      </w:r>
      <w:r>
        <w:rPr>
          <w:b/>
          <w:color w:val="000000"/>
          <w:szCs w:val="24"/>
        </w:rPr>
        <w:t>.</w:t>
      </w:r>
      <w:r w:rsidRPr="00975E00">
        <w:rPr>
          <w:b/>
          <w:color w:val="000000"/>
          <w:szCs w:val="24"/>
        </w:rPr>
        <w:t xml:space="preserve"> </w:t>
      </w:r>
    </w:p>
    <w:p w:rsidR="00EC0EBF" w:rsidRPr="00300651" w:rsidRDefault="00EC0EBF" w:rsidP="004B5912">
      <w:pPr>
        <w:widowControl/>
        <w:autoSpaceDE w:val="0"/>
        <w:autoSpaceDN w:val="0"/>
        <w:adjustRightInd w:val="0"/>
        <w:snapToGrid w:val="0"/>
        <w:rPr>
          <w:color w:val="000000"/>
          <w:szCs w:val="24"/>
        </w:rPr>
      </w:pPr>
    </w:p>
    <w:p w:rsidR="00EC0EBF" w:rsidRDefault="00EC0EBF" w:rsidP="004B5912">
      <w:pPr>
        <w:widowControl/>
        <w:autoSpaceDE w:val="0"/>
        <w:autoSpaceDN w:val="0"/>
        <w:adjustRightInd w:val="0"/>
        <w:snapToGrid w:val="0"/>
        <w:rPr>
          <w:color w:val="000000"/>
          <w:szCs w:val="24"/>
        </w:rPr>
      </w:pPr>
      <w:r w:rsidRPr="00300651">
        <w:rPr>
          <w:color w:val="000000"/>
          <w:szCs w:val="24"/>
        </w:rPr>
        <w:t>Economic theory demands that income losses must govern cases with regulatory-imposed diminished business income</w:t>
      </w:r>
      <w:r>
        <w:rPr>
          <w:color w:val="000000"/>
          <w:szCs w:val="24"/>
        </w:rPr>
        <w:t xml:space="preserve"> just as tort cases.  L</w:t>
      </w:r>
      <w:r w:rsidRPr="00300651">
        <w:rPr>
          <w:color w:val="000000"/>
          <w:szCs w:val="24"/>
        </w:rPr>
        <w:t xml:space="preserve">osses must be benchmarked to owner’s equity to evaluate severity of economic impact and frustration of DIBE. </w:t>
      </w:r>
    </w:p>
    <w:p w:rsidR="00EC0EBF" w:rsidRPr="00300651" w:rsidRDefault="00EC0EBF" w:rsidP="004B5912">
      <w:pPr>
        <w:widowControl/>
        <w:autoSpaceDE w:val="0"/>
        <w:autoSpaceDN w:val="0"/>
        <w:adjustRightInd w:val="0"/>
        <w:snapToGrid w:val="0"/>
        <w:rPr>
          <w:color w:val="000000"/>
          <w:szCs w:val="24"/>
        </w:rPr>
      </w:pPr>
    </w:p>
    <w:p w:rsidR="00EC0EBF" w:rsidRPr="00300651" w:rsidRDefault="00EC0EBF" w:rsidP="004B5912">
      <w:pPr>
        <w:widowControl/>
        <w:autoSpaceDE w:val="0"/>
        <w:autoSpaceDN w:val="0"/>
        <w:adjustRightInd w:val="0"/>
        <w:snapToGrid w:val="0"/>
        <w:rPr>
          <w:color w:val="000000"/>
          <w:szCs w:val="24"/>
        </w:rPr>
      </w:pPr>
      <w:r w:rsidRPr="00300651">
        <w:rPr>
          <w:color w:val="000000"/>
          <w:szCs w:val="24"/>
        </w:rPr>
        <w:t xml:space="preserve">Faulty understanding of standard economic and financial analysis within regulatory takings cases continues to set this jurisprudence apart from standard tort cases, where state of the art economic methods typically are applied within both liability and damages phases of the trial.  </w:t>
      </w:r>
    </w:p>
    <w:p w:rsidR="00EC0EBF" w:rsidRDefault="00EC0EBF" w:rsidP="002775C3">
      <w:pPr>
        <w:rPr>
          <w:i/>
          <w:color w:val="000000"/>
        </w:rPr>
      </w:pPr>
    </w:p>
    <w:p w:rsidR="00EC0EBF" w:rsidRPr="00300651" w:rsidRDefault="00EC0EBF" w:rsidP="002775C3">
      <w:pPr>
        <w:rPr>
          <w:color w:val="000000"/>
        </w:rPr>
      </w:pPr>
      <w:r w:rsidRPr="002775C3">
        <w:rPr>
          <w:i/>
          <w:color w:val="000000"/>
        </w:rPr>
        <w:t>Florida Rock V</w:t>
      </w:r>
      <w:r w:rsidRPr="002775C3">
        <w:rPr>
          <w:color w:val="000000"/>
        </w:rPr>
        <w:t xml:space="preserve"> and </w:t>
      </w:r>
      <w:r w:rsidRPr="002775C3">
        <w:rPr>
          <w:i/>
          <w:color w:val="000000"/>
        </w:rPr>
        <w:t>Cienega Gardens VIII,</w:t>
      </w:r>
      <w:r w:rsidRPr="002775C3">
        <w:rPr>
          <w:color w:val="000000"/>
        </w:rPr>
        <w:t xml:space="preserve"> </w:t>
      </w:r>
      <w:r w:rsidRPr="00975E00">
        <w:rPr>
          <w:color w:val="000000"/>
        </w:rPr>
        <w:t xml:space="preserve">seminal decisions </w:t>
      </w:r>
      <w:r w:rsidRPr="002775C3">
        <w:rPr>
          <w:color w:val="000000"/>
        </w:rPr>
        <w:t xml:space="preserve">in Federal Claims and Federal Circuit Courts, </w:t>
      </w:r>
      <w:r w:rsidRPr="00300651">
        <w:t xml:space="preserve">advanced standard applications of good economics to measure and evaluate </w:t>
      </w:r>
      <w:r w:rsidRPr="002775C3">
        <w:rPr>
          <w:color w:val="000000"/>
        </w:rPr>
        <w:t xml:space="preserve">the Penn Central test.  </w:t>
      </w:r>
      <w:r w:rsidRPr="00300651">
        <w:rPr>
          <w:color w:val="000000"/>
        </w:rPr>
        <w:t>These cases clarified the denominator of the takings fraction as the investment in the property and measured frustrations of distinct investment-backed expectations (DIBE) with the change in economic viability of the investment.  Recoupment of and return on investment were established as the basis to evaluate the economic elements of the Penn Central test.</w:t>
      </w:r>
    </w:p>
    <w:p w:rsidR="00EC0EBF" w:rsidRPr="00300651" w:rsidRDefault="00EC0EBF" w:rsidP="007900C2">
      <w:pPr>
        <w:pStyle w:val="ListParagraph"/>
        <w:rPr>
          <w:color w:val="000000"/>
        </w:rPr>
      </w:pPr>
    </w:p>
    <w:p w:rsidR="00EC0EBF" w:rsidRPr="00300651" w:rsidRDefault="00EC0EBF" w:rsidP="00FA79F1">
      <w:pPr>
        <w:widowControl/>
        <w:autoSpaceDE w:val="0"/>
        <w:autoSpaceDN w:val="0"/>
        <w:adjustRightInd w:val="0"/>
        <w:snapToGrid w:val="0"/>
        <w:rPr>
          <w:color w:val="000000"/>
          <w:szCs w:val="24"/>
        </w:rPr>
      </w:pPr>
      <w:r w:rsidRPr="002775C3">
        <w:rPr>
          <w:color w:val="000000"/>
        </w:rPr>
        <w:t xml:space="preserve">The government’s persistent argument in a series of Federal Claims Court cases that claimant’s temporary loss of income arising from the use of their property should be evaluated in context with the real property misconstrued </w:t>
      </w:r>
      <w:r w:rsidRPr="002775C3">
        <w:rPr>
          <w:i/>
          <w:color w:val="000000"/>
        </w:rPr>
        <w:t>Tahoe Sierra’s</w:t>
      </w:r>
      <w:r w:rsidRPr="002775C3">
        <w:rPr>
          <w:color w:val="000000"/>
        </w:rPr>
        <w:t xml:space="preserve"> parcel as a temporal whole to confound standard economic methods. </w:t>
      </w:r>
      <w:r w:rsidRPr="002775C3">
        <w:rPr>
          <w:color w:val="000000"/>
          <w:szCs w:val="24"/>
        </w:rPr>
        <w:t>Measuring business income losses with property values is erroneous.</w:t>
      </w:r>
      <w:r w:rsidRPr="00FA79F1">
        <w:rPr>
          <w:color w:val="000000"/>
          <w:szCs w:val="24"/>
        </w:rPr>
        <w:t xml:space="preserve"> </w:t>
      </w:r>
      <w:r>
        <w:rPr>
          <w:color w:val="000000"/>
          <w:szCs w:val="24"/>
        </w:rPr>
        <w:t xml:space="preserve"> </w:t>
      </w:r>
      <w:r w:rsidRPr="00300651">
        <w:rPr>
          <w:color w:val="000000"/>
          <w:szCs w:val="24"/>
        </w:rPr>
        <w:t xml:space="preserve">Takings jurisprudence is unlikely to have any predictability until the economic underpinning of the Penn Central test are re-conformed to standard economic approaches as decided in </w:t>
      </w:r>
      <w:r w:rsidRPr="00300651">
        <w:rPr>
          <w:i/>
          <w:color w:val="000000"/>
          <w:szCs w:val="24"/>
        </w:rPr>
        <w:t>Cienega VIII</w:t>
      </w:r>
      <w:r>
        <w:rPr>
          <w:color w:val="000000"/>
          <w:szCs w:val="24"/>
        </w:rPr>
        <w:t xml:space="preserve">.  </w:t>
      </w:r>
    </w:p>
    <w:p w:rsidR="00EC0EBF" w:rsidRPr="00300651" w:rsidRDefault="00EC0EBF" w:rsidP="007900C2">
      <w:pPr>
        <w:pStyle w:val="ListParagraph"/>
        <w:rPr>
          <w:i/>
          <w:color w:val="000000"/>
        </w:rPr>
      </w:pPr>
    </w:p>
    <w:p w:rsidR="00EC0EBF" w:rsidRPr="002775C3" w:rsidRDefault="00EC0EBF" w:rsidP="002775C3">
      <w:pPr>
        <w:rPr>
          <w:color w:val="000000"/>
        </w:rPr>
      </w:pPr>
      <w:r w:rsidRPr="002775C3">
        <w:rPr>
          <w:i/>
          <w:color w:val="000000"/>
        </w:rPr>
        <w:t>Cienega X’s</w:t>
      </w:r>
      <w:r w:rsidRPr="002775C3">
        <w:rPr>
          <w:color w:val="000000"/>
        </w:rPr>
        <w:t xml:space="preserve"> failure to follow the economic methods vetted in </w:t>
      </w:r>
      <w:r w:rsidRPr="002775C3">
        <w:rPr>
          <w:i/>
          <w:color w:val="000000"/>
        </w:rPr>
        <w:t>Cienega VIII</w:t>
      </w:r>
      <w:r w:rsidRPr="002775C3">
        <w:rPr>
          <w:color w:val="000000"/>
        </w:rPr>
        <w:t xml:space="preserve"> ignores standard economic practice to value business income losses based on the losses and substitutes instead the valuation of the business’ real property.  This is economic nonsense and </w:t>
      </w:r>
      <w:r w:rsidRPr="002775C3">
        <w:rPr>
          <w:szCs w:val="24"/>
        </w:rPr>
        <w:t xml:space="preserve">side-steps a strong line of Supreme Court precedent that relied on the correct return on equity approach. </w:t>
      </w:r>
      <w:r w:rsidRPr="002775C3">
        <w:rPr>
          <w:color w:val="000000"/>
        </w:rPr>
        <w:t xml:space="preserve"> </w:t>
      </w:r>
      <w:r w:rsidRPr="002775C3">
        <w:rPr>
          <w:i/>
          <w:color w:val="000000"/>
        </w:rPr>
        <w:t>Rose Acre Farms VI</w:t>
      </w:r>
      <w:r w:rsidRPr="002775C3">
        <w:rPr>
          <w:color w:val="000000"/>
        </w:rPr>
        <w:t xml:space="preserve"> and </w:t>
      </w:r>
      <w:r w:rsidRPr="002775C3">
        <w:rPr>
          <w:i/>
          <w:color w:val="000000"/>
        </w:rPr>
        <w:t>CCA Associates</w:t>
      </w:r>
      <w:r w:rsidRPr="002775C3">
        <w:rPr>
          <w:color w:val="000000"/>
        </w:rPr>
        <w:t xml:space="preserve"> decisions at the Federal Circuit and Federal Claims Court, progeny of </w:t>
      </w:r>
      <w:r w:rsidRPr="002775C3">
        <w:rPr>
          <w:i/>
          <w:color w:val="000000"/>
        </w:rPr>
        <w:t>Cienega X,</w:t>
      </w:r>
      <w:r w:rsidRPr="002775C3">
        <w:rPr>
          <w:color w:val="000000"/>
        </w:rPr>
        <w:t xml:space="preserve"> reveal disarray in understanding what to measure and how to evaluate the economic prongs of the Penn Central test.</w:t>
      </w:r>
      <w:r>
        <w:rPr>
          <w:color w:val="000000"/>
        </w:rPr>
        <w:t xml:space="preserve">  Each only measured the single economic impact prong of the Penn Central test and neither benchmarked the change in value to owners’ equity to examine whether the change was sufficient to frustrate of DIBE.  Hence, the </w:t>
      </w:r>
      <w:r w:rsidRPr="00FA79F1">
        <w:rPr>
          <w:i/>
          <w:color w:val="000000"/>
        </w:rPr>
        <w:t>Cienega X</w:t>
      </w:r>
      <w:r>
        <w:rPr>
          <w:color w:val="000000"/>
        </w:rPr>
        <w:t xml:space="preserve"> methods are not only divergent from standard textbook economics; the change in value approach does not evaluate the Penn Central test.</w:t>
      </w:r>
    </w:p>
    <w:p w:rsidR="00EC0EBF" w:rsidRDefault="00EC0EBF" w:rsidP="00286E33">
      <w:pPr>
        <w:widowControl/>
        <w:autoSpaceDE w:val="0"/>
        <w:autoSpaceDN w:val="0"/>
        <w:adjustRightInd w:val="0"/>
        <w:snapToGrid w:val="0"/>
        <w:rPr>
          <w:color w:val="000000"/>
          <w:szCs w:val="24"/>
        </w:rPr>
      </w:pPr>
    </w:p>
    <w:p w:rsidR="00EC0EBF" w:rsidRPr="009B5F20" w:rsidRDefault="00EC0EBF" w:rsidP="009B5F20">
      <w:pPr>
        <w:widowControl/>
        <w:autoSpaceDE w:val="0"/>
        <w:autoSpaceDN w:val="0"/>
        <w:adjustRightInd w:val="0"/>
        <w:snapToGrid w:val="0"/>
        <w:rPr>
          <w:color w:val="000000"/>
          <w:szCs w:val="24"/>
        </w:rPr>
      </w:pPr>
      <w:r w:rsidRPr="009B5F20">
        <w:rPr>
          <w:color w:val="000000"/>
          <w:szCs w:val="24"/>
        </w:rPr>
        <w:t xml:space="preserve">Until the Supreme Court puts an end to faulty understanding of economics within the Penn Central test (if, indeed, it is to be its polestar) </w:t>
      </w:r>
      <w:r w:rsidRPr="009B5F20">
        <w:rPr>
          <w:szCs w:val="24"/>
        </w:rPr>
        <w:t>widespread confusion of takings jurisprudence will persist</w:t>
      </w:r>
      <w:r w:rsidRPr="009B5F20">
        <w:rPr>
          <w:i/>
          <w:szCs w:val="24"/>
        </w:rPr>
        <w:t xml:space="preserve">.  </w:t>
      </w:r>
      <w:r w:rsidRPr="009B5F20">
        <w:rPr>
          <w:szCs w:val="24"/>
        </w:rPr>
        <w:t>But who can say that the Supreme Court would understand the economics of the Penn Central test any better than the Federal Circuit?</w:t>
      </w:r>
      <w:r w:rsidRPr="009B5F20">
        <w:rPr>
          <w:color w:val="000000"/>
          <w:szCs w:val="24"/>
        </w:rPr>
        <w:t xml:space="preserve"> </w:t>
      </w:r>
    </w:p>
    <w:p w:rsidR="00EC0EBF" w:rsidRPr="002775C3" w:rsidRDefault="00EC0EBF" w:rsidP="002775C3">
      <w:pPr>
        <w:widowControl/>
        <w:autoSpaceDE w:val="0"/>
        <w:autoSpaceDN w:val="0"/>
        <w:adjustRightInd w:val="0"/>
        <w:snapToGrid w:val="0"/>
        <w:rPr>
          <w:color w:val="000000"/>
          <w:szCs w:val="24"/>
        </w:rPr>
      </w:pPr>
    </w:p>
    <w:p w:rsidR="00EC0EBF" w:rsidRDefault="00EC0EBF">
      <w:pPr>
        <w:widowControl/>
        <w:spacing w:after="200" w:line="276" w:lineRule="auto"/>
        <w:rPr>
          <w:b/>
          <w:sz w:val="32"/>
          <w:szCs w:val="32"/>
        </w:rPr>
      </w:pPr>
    </w:p>
    <w:sectPr w:rsidR="00EC0EBF" w:rsidSect="00D9752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BF" w:rsidRDefault="00EC0EBF" w:rsidP="00413BB8">
      <w:r>
        <w:separator/>
      </w:r>
    </w:p>
  </w:endnote>
  <w:endnote w:type="continuationSeparator" w:id="0">
    <w:p w:rsidR="00EC0EBF" w:rsidRDefault="00EC0EBF" w:rsidP="00413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BF" w:rsidRDefault="00EC0EBF">
    <w:pPr>
      <w:pStyle w:val="Footer"/>
      <w:jc w:val="center"/>
    </w:pPr>
    <w:fldSimple w:instr=" PAGE   \* MERGEFORMAT ">
      <w:r>
        <w:rPr>
          <w:noProof/>
        </w:rPr>
        <w:t>1</w:t>
      </w:r>
    </w:fldSimple>
  </w:p>
  <w:p w:rsidR="00EC0EBF" w:rsidRDefault="00EC0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BF" w:rsidRDefault="00EC0EBF" w:rsidP="00413BB8">
      <w:r>
        <w:separator/>
      </w:r>
    </w:p>
  </w:footnote>
  <w:footnote w:type="continuationSeparator" w:id="0">
    <w:p w:rsidR="00EC0EBF" w:rsidRDefault="00EC0EBF" w:rsidP="00413BB8">
      <w:r>
        <w:continuationSeparator/>
      </w:r>
    </w:p>
  </w:footnote>
  <w:footnote w:id="1">
    <w:p w:rsidR="00EC0EBF" w:rsidRDefault="00EC0EBF">
      <w:pPr>
        <w:pStyle w:val="FootnoteText"/>
      </w:pPr>
      <w:r>
        <w:rPr>
          <w:rStyle w:val="FootnoteReference"/>
        </w:rPr>
        <w:footnoteRef/>
      </w:r>
      <w:r>
        <w:t xml:space="preserve"> Bio sketch.</w:t>
      </w:r>
    </w:p>
  </w:footnote>
  <w:footnote w:id="2">
    <w:p w:rsidR="00EC0EBF" w:rsidRDefault="00EC0EBF" w:rsidP="0008389B">
      <w:pPr>
        <w:pStyle w:val="FootnoteText"/>
      </w:pPr>
      <w:r>
        <w:rPr>
          <w:rStyle w:val="FootnoteReference"/>
        </w:rPr>
        <w:footnoteRef/>
      </w:r>
      <w:r>
        <w:t xml:space="preserve"> </w:t>
      </w:r>
      <w:r w:rsidRPr="00300651">
        <w:rPr>
          <w:i/>
          <w:sz w:val="22"/>
          <w:szCs w:val="22"/>
        </w:rPr>
        <w:t>Penn Cent. Transp. Co. v. New York City,</w:t>
      </w:r>
      <w:r>
        <w:rPr>
          <w:sz w:val="22"/>
          <w:szCs w:val="22"/>
        </w:rPr>
        <w:t xml:space="preserve"> 438 U.S. 104</w:t>
      </w:r>
      <w:r w:rsidRPr="00300651">
        <w:rPr>
          <w:sz w:val="22"/>
          <w:szCs w:val="22"/>
        </w:rPr>
        <w:t>(1978).</w:t>
      </w:r>
    </w:p>
  </w:footnote>
  <w:footnote w:id="3">
    <w:p w:rsidR="00EC0EBF" w:rsidRDefault="00EC0EBF" w:rsidP="007900C2">
      <w:pPr>
        <w:spacing w:after="120"/>
      </w:pPr>
      <w:r w:rsidRPr="007900C2">
        <w:rPr>
          <w:rStyle w:val="FootnoteReference"/>
          <w:i/>
          <w:sz w:val="22"/>
          <w:szCs w:val="22"/>
        </w:rPr>
        <w:footnoteRef/>
      </w:r>
      <w:r w:rsidRPr="007900C2">
        <w:rPr>
          <w:i/>
          <w:sz w:val="22"/>
          <w:szCs w:val="22"/>
        </w:rPr>
        <w:t xml:space="preserve"> Id.</w:t>
      </w:r>
      <w:r>
        <w:rPr>
          <w:sz w:val="22"/>
          <w:szCs w:val="22"/>
        </w:rPr>
        <w:t xml:space="preserve"> at 124.</w:t>
      </w:r>
    </w:p>
  </w:footnote>
  <w:footnote w:id="4">
    <w:p w:rsidR="00EC0EBF" w:rsidRDefault="00EC0EBF" w:rsidP="007900C2">
      <w:pPr>
        <w:pStyle w:val="FootnoteText"/>
      </w:pPr>
      <w:r w:rsidRPr="00300651">
        <w:rPr>
          <w:rStyle w:val="FootnoteReference"/>
          <w:sz w:val="22"/>
          <w:szCs w:val="22"/>
        </w:rPr>
        <w:footnoteRef/>
      </w:r>
      <w:r w:rsidRPr="00300651">
        <w:rPr>
          <w:sz w:val="22"/>
          <w:szCs w:val="22"/>
        </w:rPr>
        <w:t xml:space="preserve"> </w:t>
      </w:r>
      <w:r w:rsidRPr="00300651">
        <w:rPr>
          <w:i/>
          <w:sz w:val="22"/>
          <w:szCs w:val="22"/>
        </w:rPr>
        <w:t>Palazzolo v. Rhode Island,</w:t>
      </w:r>
      <w:r w:rsidRPr="00300651">
        <w:rPr>
          <w:sz w:val="22"/>
          <w:szCs w:val="22"/>
        </w:rPr>
        <w:t xml:space="preserve"> 533 U.S. 606, 633 (2001) (O’Connor, J., concurring)</w:t>
      </w:r>
    </w:p>
  </w:footnote>
  <w:footnote w:id="5">
    <w:p w:rsidR="00EC0EBF" w:rsidRDefault="00EC0EBF" w:rsidP="007900C2">
      <w:pPr>
        <w:pStyle w:val="FootnoteText"/>
      </w:pPr>
      <w:r w:rsidRPr="00300651">
        <w:rPr>
          <w:rStyle w:val="FootnoteReference"/>
          <w:sz w:val="22"/>
          <w:szCs w:val="22"/>
        </w:rPr>
        <w:footnoteRef/>
      </w:r>
      <w:r w:rsidRPr="00300651">
        <w:rPr>
          <w:sz w:val="22"/>
          <w:szCs w:val="22"/>
        </w:rPr>
        <w:t xml:space="preserve"> </w:t>
      </w:r>
      <w:r w:rsidRPr="00300651">
        <w:rPr>
          <w:i/>
          <w:sz w:val="22"/>
          <w:szCs w:val="22"/>
        </w:rPr>
        <w:t>Lingle v. Chevron U.S.A</w:t>
      </w:r>
      <w:r w:rsidRPr="00300651">
        <w:rPr>
          <w:sz w:val="22"/>
          <w:szCs w:val="22"/>
        </w:rPr>
        <w:t xml:space="preserve">., Inc., 544 U.S. 528, 541 (2005) (unanimous decision).  (“The </w:t>
      </w:r>
      <w:r w:rsidRPr="00300651">
        <w:rPr>
          <w:i/>
          <w:iCs/>
          <w:sz w:val="22"/>
          <w:szCs w:val="22"/>
        </w:rPr>
        <w:t xml:space="preserve">Penn Central </w:t>
      </w:r>
      <w:r w:rsidRPr="00300651">
        <w:rPr>
          <w:sz w:val="22"/>
          <w:szCs w:val="22"/>
        </w:rPr>
        <w:t xml:space="preserve">factors--though each has given rise to vexing subsidiary questions--have served as the principal guidelines for resolving regulatory takings claims that do not fall within the physical takings or </w:t>
      </w:r>
      <w:r w:rsidRPr="00300651">
        <w:rPr>
          <w:i/>
          <w:iCs/>
          <w:sz w:val="22"/>
          <w:szCs w:val="22"/>
        </w:rPr>
        <w:t xml:space="preserve">Lucas </w:t>
      </w:r>
      <w:r w:rsidRPr="00300651">
        <w:rPr>
          <w:sz w:val="22"/>
          <w:szCs w:val="22"/>
        </w:rPr>
        <w:t>rules.”)</w:t>
      </w:r>
    </w:p>
  </w:footnote>
  <w:footnote w:id="6">
    <w:p w:rsidR="00EC0EBF" w:rsidRDefault="00EC0EBF" w:rsidP="00F9105B">
      <w:pPr>
        <w:widowControl/>
        <w:autoSpaceDE w:val="0"/>
        <w:autoSpaceDN w:val="0"/>
        <w:adjustRightInd w:val="0"/>
        <w:spacing w:after="120"/>
      </w:pPr>
      <w:r w:rsidRPr="001C07E3">
        <w:rPr>
          <w:rStyle w:val="FootnoteReference"/>
          <w:sz w:val="22"/>
          <w:szCs w:val="22"/>
        </w:rPr>
        <w:footnoteRef/>
      </w:r>
      <w:r w:rsidRPr="001C07E3">
        <w:rPr>
          <w:sz w:val="22"/>
          <w:szCs w:val="22"/>
        </w:rPr>
        <w:t xml:space="preserve"> </w:t>
      </w:r>
      <w:r w:rsidRPr="001C07E3">
        <w:rPr>
          <w:i/>
          <w:sz w:val="22"/>
          <w:szCs w:val="22"/>
        </w:rPr>
        <w:t>Id</w:t>
      </w:r>
      <w:r w:rsidRPr="001C07E3">
        <w:rPr>
          <w:sz w:val="22"/>
          <w:szCs w:val="22"/>
        </w:rPr>
        <w:t xml:space="preserve">. at 540.  [Emphasis added.] </w:t>
      </w:r>
    </w:p>
  </w:footnote>
  <w:footnote w:id="7">
    <w:p w:rsidR="00EC0EBF" w:rsidRPr="008D5364" w:rsidRDefault="00EC0EBF" w:rsidP="008D5364">
      <w:pPr>
        <w:ind w:right="72"/>
        <w:rPr>
          <w:color w:val="000000"/>
          <w:sz w:val="22"/>
          <w:szCs w:val="22"/>
        </w:rPr>
      </w:pPr>
      <w:r w:rsidRPr="008D5364">
        <w:rPr>
          <w:rStyle w:val="FootnoteReference"/>
          <w:sz w:val="22"/>
          <w:szCs w:val="22"/>
        </w:rPr>
        <w:footnoteRef/>
      </w:r>
      <w:r>
        <w:rPr>
          <w:sz w:val="22"/>
          <w:szCs w:val="22"/>
        </w:rPr>
        <w:t xml:space="preserve"> In the most recent and pending case at the Federal Circuit dealing with the pervasive economic confusion in issues discussed in this paper, the government has the opposite conclusion. </w:t>
      </w:r>
      <w:r w:rsidRPr="008D5364">
        <w:rPr>
          <w:sz w:val="22"/>
          <w:szCs w:val="22"/>
        </w:rPr>
        <w:t xml:space="preserve"> </w:t>
      </w:r>
      <w:r>
        <w:rPr>
          <w:sz w:val="22"/>
          <w:szCs w:val="22"/>
        </w:rPr>
        <w:t>“</w:t>
      </w:r>
      <w:r w:rsidRPr="008D5364">
        <w:rPr>
          <w:color w:val="000000"/>
          <w:sz w:val="22"/>
          <w:szCs w:val="22"/>
        </w:rPr>
        <w:t xml:space="preserve">Since the Supreme Court's seminal decision in </w:t>
      </w:r>
      <w:r w:rsidRPr="008643D8">
        <w:rPr>
          <w:i/>
          <w:color w:val="000000"/>
          <w:sz w:val="22"/>
          <w:szCs w:val="22"/>
        </w:rPr>
        <w:t>Penn Central</w:t>
      </w:r>
      <w:r w:rsidRPr="008D5364">
        <w:rPr>
          <w:color w:val="000000"/>
          <w:sz w:val="22"/>
          <w:szCs w:val="22"/>
        </w:rPr>
        <w:t xml:space="preserve"> nearly 35 years </w:t>
      </w:r>
      <w:r w:rsidRPr="008D5364">
        <w:rPr>
          <w:color w:val="000000"/>
          <w:spacing w:val="1"/>
          <w:sz w:val="22"/>
          <w:szCs w:val="22"/>
        </w:rPr>
        <w:t>ago, courts have developed a substantial body of jurisprudence that informs the</w:t>
      </w:r>
      <w:r>
        <w:rPr>
          <w:color w:val="000000"/>
          <w:spacing w:val="1"/>
          <w:sz w:val="22"/>
          <w:szCs w:val="22"/>
        </w:rPr>
        <w:t xml:space="preserve"> </w:t>
      </w:r>
      <w:r w:rsidRPr="008643D8">
        <w:rPr>
          <w:i/>
          <w:color w:val="000000"/>
          <w:sz w:val="22"/>
          <w:szCs w:val="22"/>
        </w:rPr>
        <w:t>ad hoc</w:t>
      </w:r>
      <w:r w:rsidRPr="008D5364">
        <w:rPr>
          <w:color w:val="000000"/>
          <w:sz w:val="22"/>
          <w:szCs w:val="22"/>
        </w:rPr>
        <w:t xml:space="preserve"> inquiry under </w:t>
      </w:r>
      <w:r w:rsidRPr="008643D8">
        <w:rPr>
          <w:i/>
          <w:color w:val="000000"/>
          <w:sz w:val="22"/>
          <w:szCs w:val="22"/>
        </w:rPr>
        <w:t>Penn Central</w:t>
      </w:r>
      <w:r w:rsidRPr="008643D8">
        <w:rPr>
          <w:color w:val="000000"/>
          <w:sz w:val="22"/>
          <w:szCs w:val="22"/>
        </w:rPr>
        <w:t>.</w:t>
      </w:r>
      <w:r w:rsidRPr="008D5364">
        <w:rPr>
          <w:color w:val="000000"/>
          <w:sz w:val="22"/>
          <w:szCs w:val="22"/>
        </w:rPr>
        <w:t xml:space="preserve"> </w:t>
      </w:r>
      <w:r>
        <w:rPr>
          <w:color w:val="000000"/>
          <w:sz w:val="22"/>
          <w:szCs w:val="22"/>
        </w:rPr>
        <w:t xml:space="preserve"> . . .  [T]</w:t>
      </w:r>
      <w:r w:rsidRPr="008D5364">
        <w:rPr>
          <w:color w:val="000000"/>
          <w:sz w:val="22"/>
          <w:szCs w:val="22"/>
        </w:rPr>
        <w:t xml:space="preserve">he </w:t>
      </w:r>
      <w:r w:rsidRPr="008D5364">
        <w:rPr>
          <w:color w:val="000000"/>
          <w:spacing w:val="-2"/>
          <w:sz w:val="22"/>
          <w:szCs w:val="22"/>
        </w:rPr>
        <w:t xml:space="preserve">ability to utilize this jurisprudence provides guidance, certainty, and consistency to </w:t>
      </w:r>
      <w:r w:rsidRPr="008D5364">
        <w:rPr>
          <w:color w:val="000000"/>
          <w:spacing w:val="2"/>
          <w:sz w:val="22"/>
          <w:szCs w:val="22"/>
        </w:rPr>
        <w:t>judicial decision making.</w:t>
      </w:r>
      <w:r>
        <w:rPr>
          <w:color w:val="000000"/>
          <w:spacing w:val="2"/>
          <w:sz w:val="22"/>
          <w:szCs w:val="22"/>
        </w:rPr>
        <w:t xml:space="preserve">” This </w:t>
      </w:r>
      <w:r w:rsidRPr="00FD6EB2">
        <w:rPr>
          <w:i/>
          <w:color w:val="000000"/>
          <w:spacing w:val="2"/>
          <w:sz w:val="22"/>
          <w:szCs w:val="22"/>
        </w:rPr>
        <w:t>guidance</w:t>
      </w:r>
      <w:r>
        <w:rPr>
          <w:color w:val="000000"/>
          <w:spacing w:val="2"/>
          <w:sz w:val="22"/>
          <w:szCs w:val="22"/>
        </w:rPr>
        <w:t xml:space="preserve"> rests on inappropriate economic methods that have confounded this jurisprudence and motivated this article.   (</w:t>
      </w:r>
      <w:r w:rsidRPr="00625669">
        <w:rPr>
          <w:i/>
          <w:color w:val="000000"/>
          <w:spacing w:val="2"/>
          <w:sz w:val="22"/>
          <w:szCs w:val="22"/>
        </w:rPr>
        <w:t>CCA Associates v. United States</w:t>
      </w:r>
      <w:r>
        <w:rPr>
          <w:color w:val="000000"/>
          <w:spacing w:val="2"/>
          <w:sz w:val="22"/>
          <w:szCs w:val="22"/>
        </w:rPr>
        <w:t>, Unites States Court of Appeals for the Federal Circuit, “Reply Brief of Defendant-Appellant and Response to the Brief of Plaintiff-Cross Appellant, December 13, 2010, p. 6.)</w:t>
      </w:r>
    </w:p>
    <w:p w:rsidR="00EC0EBF" w:rsidRDefault="00EC0EBF" w:rsidP="008D5364">
      <w:pPr>
        <w:ind w:right="72"/>
      </w:pPr>
    </w:p>
  </w:footnote>
  <w:footnote w:id="8">
    <w:p w:rsidR="00EC0EBF" w:rsidRDefault="00EC0EBF">
      <w:pPr>
        <w:pStyle w:val="FootnoteText"/>
      </w:pPr>
      <w:r>
        <w:rPr>
          <w:rStyle w:val="FootnoteReference"/>
        </w:rPr>
        <w:footnoteRef/>
      </w:r>
      <w:r>
        <w:t xml:space="preserve"> 438 U.S. at 124.  “In engaging in these essentially </w:t>
      </w:r>
      <w:r w:rsidRPr="009A5999">
        <w:rPr>
          <w:i/>
        </w:rPr>
        <w:t>ad hoc,</w:t>
      </w:r>
      <w:r>
        <w:t xml:space="preserve"> factual inquiries, the Court's decisions have identified several factors that have particular significance.”</w:t>
      </w:r>
    </w:p>
  </w:footnote>
  <w:footnote w:id="9">
    <w:p w:rsidR="00EC0EBF" w:rsidRDefault="00EC0EBF" w:rsidP="00D77C14">
      <w:pPr>
        <w:pStyle w:val="FootnoteText"/>
      </w:pPr>
      <w:r w:rsidRPr="00300651">
        <w:rPr>
          <w:rStyle w:val="FootnoteReference"/>
          <w:sz w:val="22"/>
          <w:szCs w:val="22"/>
        </w:rPr>
        <w:footnoteRef/>
      </w:r>
      <w:r w:rsidRPr="00300651">
        <w:rPr>
          <w:sz w:val="22"/>
          <w:szCs w:val="22"/>
        </w:rPr>
        <w:t xml:space="preserve"> Even Professor John Echeverria agreed that</w:t>
      </w:r>
      <w:r w:rsidRPr="00300651">
        <w:rPr>
          <w:i/>
          <w:sz w:val="22"/>
          <w:szCs w:val="22"/>
        </w:rPr>
        <w:t xml:space="preserve"> Penn Central</w:t>
      </w:r>
      <w:r w:rsidRPr="00300651">
        <w:rPr>
          <w:sz w:val="22"/>
          <w:szCs w:val="22"/>
        </w:rPr>
        <w:t xml:space="preserve"> is here to stay; he just wants to redefine its three factors in ways at odds with standard economic practice such that claimants could never, short of a total wipe-out, surmount the Penn Central test; e.g., (“Regulation might undermine the profitability of a particular business enterprise, but not necessarily have any adverse effect on the market value of the land on which the business is located. . . . [I]t is difficult to understand how to analyze the significance of impacts on profitability.”) (“</w:t>
      </w:r>
      <w:r w:rsidRPr="00300651">
        <w:rPr>
          <w:color w:val="000000"/>
          <w:sz w:val="22"/>
          <w:szCs w:val="22"/>
        </w:rPr>
        <w:t>Making</w:t>
      </w:r>
      <w:r>
        <w:rPr>
          <w:color w:val="000000"/>
          <w:sz w:val="22"/>
          <w:szCs w:val="22"/>
        </w:rPr>
        <w:t xml:space="preserve"> Sense of Penn Central,” 23 J. Env</w:t>
      </w:r>
      <w:r w:rsidRPr="00300651">
        <w:rPr>
          <w:color w:val="000000"/>
          <w:sz w:val="22"/>
          <w:szCs w:val="22"/>
        </w:rPr>
        <w:t>tl Law 171,182, October 2006.)</w:t>
      </w:r>
      <w:r>
        <w:rPr>
          <w:color w:val="000000"/>
          <w:sz w:val="22"/>
          <w:szCs w:val="22"/>
        </w:rPr>
        <w:t xml:space="preserve"> </w:t>
      </w:r>
      <w:r w:rsidRPr="00300651">
        <w:rPr>
          <w:sz w:val="22"/>
          <w:szCs w:val="22"/>
        </w:rPr>
        <w:t xml:space="preserve"> Measuring and benchmarking the change in returns against standard textbook performance hurdles is straightforward for trained practitioners.  If these financial measurement approaches enjoyed wider understanding in takings jurisprudence, the </w:t>
      </w:r>
      <w:r w:rsidRPr="00300651">
        <w:rPr>
          <w:i/>
          <w:sz w:val="22"/>
          <w:szCs w:val="22"/>
        </w:rPr>
        <w:t>Penn Central</w:t>
      </w:r>
      <w:r w:rsidRPr="00300651">
        <w:rPr>
          <w:sz w:val="22"/>
          <w:szCs w:val="22"/>
        </w:rPr>
        <w:t xml:space="preserve"> test might begin to make a lot more sense.  </w:t>
      </w:r>
    </w:p>
  </w:footnote>
  <w:footnote w:id="10">
    <w:p w:rsidR="00EC0EBF" w:rsidRDefault="00EC0EBF">
      <w:pPr>
        <w:pStyle w:val="FootnoteText"/>
      </w:pPr>
      <w:r w:rsidRPr="00300651">
        <w:rPr>
          <w:rStyle w:val="FootnoteReference"/>
          <w:sz w:val="22"/>
          <w:szCs w:val="22"/>
        </w:rPr>
        <w:footnoteRef/>
      </w:r>
      <w:r w:rsidRPr="00300651">
        <w:rPr>
          <w:sz w:val="22"/>
          <w:szCs w:val="22"/>
        </w:rPr>
        <w:t xml:space="preserve"> </w:t>
      </w:r>
      <w:bookmarkStart w:id="0" w:name="105"/>
      <w:bookmarkEnd w:id="0"/>
      <w:r w:rsidRPr="00300651">
        <w:rPr>
          <w:sz w:val="22"/>
          <w:szCs w:val="22"/>
        </w:rPr>
        <w:t>438 U.S</w:t>
      </w:r>
      <w:r w:rsidRPr="00300651">
        <w:rPr>
          <w:i/>
          <w:sz w:val="22"/>
          <w:szCs w:val="22"/>
        </w:rPr>
        <w:t xml:space="preserve">. </w:t>
      </w:r>
      <w:r w:rsidRPr="00300651">
        <w:rPr>
          <w:sz w:val="22"/>
          <w:szCs w:val="22"/>
        </w:rPr>
        <w:t xml:space="preserve">at 105. </w:t>
      </w:r>
    </w:p>
  </w:footnote>
  <w:footnote w:id="11">
    <w:p w:rsidR="00EC0EBF" w:rsidRDefault="00EC0EBF" w:rsidP="00FC6F74">
      <w:pPr>
        <w:spacing w:after="120"/>
      </w:pPr>
      <w:r w:rsidRPr="00300651">
        <w:rPr>
          <w:rStyle w:val="FootnoteReference"/>
          <w:sz w:val="22"/>
          <w:szCs w:val="22"/>
        </w:rPr>
        <w:footnoteRef/>
      </w:r>
      <w:r w:rsidRPr="00300651">
        <w:rPr>
          <w:sz w:val="22"/>
          <w:szCs w:val="22"/>
        </w:rPr>
        <w:t xml:space="preserve"> </w:t>
      </w:r>
      <w:r w:rsidRPr="00300651">
        <w:rPr>
          <w:i/>
          <w:sz w:val="22"/>
          <w:szCs w:val="22"/>
        </w:rPr>
        <w:t xml:space="preserve">Id. </w:t>
      </w:r>
      <w:r w:rsidRPr="00300651">
        <w:rPr>
          <w:sz w:val="22"/>
          <w:szCs w:val="22"/>
        </w:rPr>
        <w:t>at 136.  Perhaps, I am giving the majority decision too much credit for understanding the economic concepts behind the language.  After all, Justice Rehnquist called attention to the majority's lack of definition for "reasonable return" or "economically viable" language and concluded that a rule without definitions poses "difficult conceptual and legal problems."  (</w:t>
      </w:r>
      <w:r w:rsidRPr="00300651">
        <w:rPr>
          <w:i/>
          <w:sz w:val="22"/>
          <w:szCs w:val="22"/>
        </w:rPr>
        <w:t>Id.</w:t>
      </w:r>
      <w:r w:rsidRPr="00300651">
        <w:rPr>
          <w:sz w:val="22"/>
          <w:szCs w:val="22"/>
        </w:rPr>
        <w:t xml:space="preserve"> at 149 n.13.)  The footnote appears to point out politely that the majority was not schooled in the meanings of the economic terms used in their language.</w:t>
      </w:r>
    </w:p>
  </w:footnote>
  <w:footnote w:id="12">
    <w:p w:rsidR="00EC0EBF" w:rsidRDefault="00EC0EBF" w:rsidP="00D205FA">
      <w:pPr>
        <w:widowControl/>
        <w:spacing w:after="120"/>
      </w:pPr>
      <w:r w:rsidRPr="00D205FA">
        <w:rPr>
          <w:rStyle w:val="FootnoteReference"/>
          <w:sz w:val="22"/>
          <w:szCs w:val="22"/>
        </w:rPr>
        <w:footnoteRef/>
      </w:r>
      <w:r w:rsidRPr="00D205FA">
        <w:rPr>
          <w:sz w:val="22"/>
          <w:szCs w:val="22"/>
        </w:rPr>
        <w:t xml:space="preserve"> TRANSCRIPT: </w:t>
      </w:r>
      <w:r>
        <w:rPr>
          <w:sz w:val="22"/>
          <w:szCs w:val="22"/>
        </w:rPr>
        <w:t>“</w:t>
      </w:r>
      <w:r w:rsidRPr="00D205FA">
        <w:rPr>
          <w:sz w:val="22"/>
          <w:szCs w:val="22"/>
        </w:rPr>
        <w:t xml:space="preserve">Looking Back on Penn Central: A Panel Discussion with the Supreme </w:t>
      </w:r>
      <w:r>
        <w:rPr>
          <w:sz w:val="22"/>
          <w:szCs w:val="22"/>
        </w:rPr>
        <w:t>C</w:t>
      </w:r>
      <w:r w:rsidRPr="00D205FA">
        <w:rPr>
          <w:sz w:val="22"/>
          <w:szCs w:val="22"/>
        </w:rPr>
        <w:t>ourt Litigators,</w:t>
      </w:r>
      <w:r>
        <w:rPr>
          <w:sz w:val="22"/>
          <w:szCs w:val="22"/>
        </w:rPr>
        <w:t>”</w:t>
      </w:r>
      <w:r w:rsidRPr="00D205FA">
        <w:rPr>
          <w:sz w:val="22"/>
          <w:szCs w:val="22"/>
        </w:rPr>
        <w:t xml:space="preserve"> 15 Fordham Envtl. Law Rev. 287, Spring, 2004. (“I reread both articles when working on the opinion and cited them both. The concept of investment backed expectations definitely came from Michelman</w:t>
      </w:r>
      <w:r>
        <w:rPr>
          <w:sz w:val="22"/>
          <w:szCs w:val="22"/>
        </w:rPr>
        <w:t>’</w:t>
      </w:r>
      <w:r w:rsidRPr="00D205FA">
        <w:rPr>
          <w:sz w:val="22"/>
          <w:szCs w:val="22"/>
        </w:rPr>
        <w:t>s article.”</w:t>
      </w:r>
    </w:p>
  </w:footnote>
  <w:footnote w:id="13">
    <w:p w:rsidR="00EC0EBF" w:rsidRDefault="00EC0EBF" w:rsidP="00A430F9">
      <w:pPr>
        <w:pStyle w:val="FootnoteText"/>
      </w:pPr>
      <w:r w:rsidRPr="00300651">
        <w:rPr>
          <w:rStyle w:val="FootnoteReference"/>
          <w:sz w:val="22"/>
          <w:szCs w:val="22"/>
        </w:rPr>
        <w:footnoteRef/>
      </w:r>
      <w:r w:rsidRPr="00300651">
        <w:rPr>
          <w:sz w:val="22"/>
          <w:szCs w:val="22"/>
        </w:rPr>
        <w:t xml:space="preserve"> Actually his clerk inserted the DIBE phrase</w:t>
      </w:r>
      <w:r>
        <w:rPr>
          <w:sz w:val="22"/>
          <w:szCs w:val="22"/>
        </w:rPr>
        <w:t xml:space="preserve"> as confirmed at fn 12</w:t>
      </w:r>
      <w:r w:rsidRPr="00300651">
        <w:rPr>
          <w:sz w:val="22"/>
          <w:szCs w:val="22"/>
        </w:rPr>
        <w:t xml:space="preserve">. </w:t>
      </w:r>
      <w:r>
        <w:rPr>
          <w:sz w:val="22"/>
          <w:szCs w:val="22"/>
        </w:rPr>
        <w:t xml:space="preserve"> </w:t>
      </w:r>
      <w:r w:rsidRPr="00300651">
        <w:rPr>
          <w:sz w:val="22"/>
          <w:szCs w:val="22"/>
        </w:rPr>
        <w:t xml:space="preserve">Gideon Kanner observed, “I suppose we should all be grateful to Justice Brennan’s clerk for not inserting Michelman’s entire phrase – “distinctly perceived, sharply crystallized, investment-backed expectations” -- into the </w:t>
      </w:r>
      <w:r w:rsidRPr="00300651">
        <w:rPr>
          <w:i/>
          <w:sz w:val="22"/>
          <w:szCs w:val="22"/>
        </w:rPr>
        <w:t xml:space="preserve">Penn Central </w:t>
      </w:r>
      <w:r w:rsidRPr="00300651">
        <w:rPr>
          <w:sz w:val="22"/>
          <w:szCs w:val="22"/>
        </w:rPr>
        <w:t>opinion.</w:t>
      </w:r>
      <w:r>
        <w:rPr>
          <w:sz w:val="22"/>
          <w:szCs w:val="22"/>
        </w:rPr>
        <w:t xml:space="preserve"> </w:t>
      </w:r>
      <w:r w:rsidRPr="00300651">
        <w:rPr>
          <w:sz w:val="22"/>
          <w:szCs w:val="22"/>
        </w:rPr>
        <w:t xml:space="preserve"> God only knows what Byzantine intellectual horrors we and our clients would have been subjected to if we also had to parse “sharply crystallized” along with the other imprecise terms in that phrase.”</w:t>
      </w:r>
      <w:r>
        <w:rPr>
          <w:sz w:val="22"/>
          <w:szCs w:val="22"/>
        </w:rPr>
        <w:t xml:space="preserve"> </w:t>
      </w:r>
      <w:r w:rsidRPr="00300651">
        <w:rPr>
          <w:sz w:val="22"/>
          <w:szCs w:val="22"/>
        </w:rPr>
        <w:t xml:space="preserve"> Gideon Kanner, </w:t>
      </w:r>
      <w:r w:rsidRPr="00300651">
        <w:rPr>
          <w:i/>
          <w:sz w:val="22"/>
          <w:szCs w:val="22"/>
        </w:rPr>
        <w:t xml:space="preserve">Making Laws and Sausages: A Quarter-Century Retrospective on </w:t>
      </w:r>
      <w:r w:rsidRPr="00300651">
        <w:rPr>
          <w:sz w:val="22"/>
          <w:szCs w:val="22"/>
        </w:rPr>
        <w:t xml:space="preserve">Penn Central Transportation Co. v. City of New York, 13 </w:t>
      </w:r>
      <w:r w:rsidRPr="00300651">
        <w:rPr>
          <w:smallCaps/>
          <w:sz w:val="22"/>
          <w:szCs w:val="22"/>
        </w:rPr>
        <w:t>Wm. &amp; Mary Bill Rts. J.</w:t>
      </w:r>
      <w:r w:rsidRPr="00300651">
        <w:rPr>
          <w:sz w:val="22"/>
          <w:szCs w:val="22"/>
        </w:rPr>
        <w:t xml:space="preserve"> 653 (2005);</w:t>
      </w:r>
    </w:p>
  </w:footnote>
  <w:footnote w:id="14">
    <w:p w:rsidR="00EC0EBF" w:rsidRDefault="00EC0EBF" w:rsidP="00A430F9">
      <w:pPr>
        <w:spacing w:after="120"/>
      </w:pPr>
      <w:r w:rsidRPr="00300651">
        <w:rPr>
          <w:rStyle w:val="FootnoteReference"/>
          <w:sz w:val="22"/>
          <w:szCs w:val="22"/>
        </w:rPr>
        <w:footnoteRef/>
      </w:r>
      <w:r w:rsidRPr="00300651">
        <w:rPr>
          <w:sz w:val="22"/>
          <w:szCs w:val="22"/>
        </w:rPr>
        <w:t xml:space="preserve"> Frank I. Michelman, </w:t>
      </w:r>
      <w:r w:rsidRPr="00300651">
        <w:rPr>
          <w:i/>
          <w:sz w:val="22"/>
          <w:szCs w:val="22"/>
        </w:rPr>
        <w:t>Property, Utility, and Fairness: Comments on the Ethical Foundations of “Just Compensation” Law</w:t>
      </w:r>
      <w:r w:rsidRPr="00300651">
        <w:rPr>
          <w:sz w:val="22"/>
          <w:szCs w:val="22"/>
        </w:rPr>
        <w:t xml:space="preserve">, 80 </w:t>
      </w:r>
      <w:r w:rsidRPr="00300651">
        <w:rPr>
          <w:smallCaps/>
          <w:sz w:val="22"/>
          <w:szCs w:val="22"/>
        </w:rPr>
        <w:t>Harv. L. Rev.</w:t>
      </w:r>
      <w:r w:rsidRPr="00300651">
        <w:rPr>
          <w:sz w:val="22"/>
          <w:szCs w:val="22"/>
        </w:rPr>
        <w:t xml:space="preserve"> 1165 (1967).</w:t>
      </w:r>
    </w:p>
  </w:footnote>
  <w:footnote w:id="15">
    <w:p w:rsidR="00EC0EBF" w:rsidRDefault="00EC0EBF" w:rsidP="00A430F9">
      <w:pPr>
        <w:spacing w:after="120"/>
      </w:pPr>
      <w:r w:rsidRPr="00300651">
        <w:rPr>
          <w:rStyle w:val="FootnoteReference"/>
          <w:sz w:val="22"/>
          <w:szCs w:val="22"/>
        </w:rPr>
        <w:footnoteRef/>
      </w:r>
      <w:r w:rsidRPr="00300651">
        <w:rPr>
          <w:sz w:val="22"/>
          <w:szCs w:val="22"/>
        </w:rPr>
        <w:t xml:space="preserve"> </w:t>
      </w:r>
      <w:r w:rsidRPr="00300651">
        <w:rPr>
          <w:i/>
          <w:sz w:val="22"/>
          <w:szCs w:val="22"/>
        </w:rPr>
        <w:t>Penn Cent.</w:t>
      </w:r>
      <w:r w:rsidRPr="00300651">
        <w:rPr>
          <w:sz w:val="22"/>
          <w:szCs w:val="22"/>
        </w:rPr>
        <w:t>, 438 U.S. at 128.</w:t>
      </w:r>
    </w:p>
  </w:footnote>
  <w:footnote w:id="16">
    <w:p w:rsidR="00EC0EBF" w:rsidRDefault="00EC0EBF" w:rsidP="00A430F9">
      <w:pPr>
        <w:spacing w:after="120"/>
      </w:pPr>
      <w:r w:rsidRPr="00300651">
        <w:rPr>
          <w:rStyle w:val="FootnoteReference"/>
          <w:sz w:val="22"/>
          <w:szCs w:val="22"/>
        </w:rPr>
        <w:footnoteRef/>
      </w:r>
      <w:r w:rsidRPr="00300651">
        <w:rPr>
          <w:sz w:val="22"/>
          <w:szCs w:val="22"/>
        </w:rPr>
        <w:t xml:space="preserve"> Michelman, </w:t>
      </w:r>
      <w:r w:rsidRPr="00300651">
        <w:rPr>
          <w:i/>
          <w:sz w:val="22"/>
          <w:szCs w:val="22"/>
        </w:rPr>
        <w:t xml:space="preserve">supra </w:t>
      </w:r>
      <w:r w:rsidRPr="00300651">
        <w:rPr>
          <w:sz w:val="22"/>
          <w:szCs w:val="22"/>
        </w:rPr>
        <w:t>note 11, at 1233.</w:t>
      </w:r>
    </w:p>
  </w:footnote>
  <w:footnote w:id="17">
    <w:p w:rsidR="00EC0EBF" w:rsidRDefault="00EC0EBF" w:rsidP="00F100AB">
      <w:pPr>
        <w:spacing w:after="120"/>
      </w:pPr>
      <w:r w:rsidRPr="00300651">
        <w:rPr>
          <w:rStyle w:val="FootnoteReference"/>
          <w:sz w:val="22"/>
          <w:szCs w:val="22"/>
        </w:rPr>
        <w:footnoteRef/>
      </w:r>
      <w:r>
        <w:rPr>
          <w:i/>
          <w:sz w:val="22"/>
          <w:szCs w:val="22"/>
        </w:rPr>
        <w:t xml:space="preserve"> </w:t>
      </w:r>
      <w:r>
        <w:rPr>
          <w:sz w:val="22"/>
          <w:szCs w:val="22"/>
        </w:rPr>
        <w:t>438 U.S. at 136.</w:t>
      </w:r>
      <w:r w:rsidRPr="00300651">
        <w:rPr>
          <w:i/>
          <w:sz w:val="22"/>
          <w:szCs w:val="22"/>
        </w:rPr>
        <w:t xml:space="preserve"> </w:t>
      </w:r>
    </w:p>
  </w:footnote>
  <w:footnote w:id="18">
    <w:p w:rsidR="00EC0EBF" w:rsidRDefault="00EC0EBF" w:rsidP="008B64E6">
      <w:pPr>
        <w:pStyle w:val="FootnoteText"/>
      </w:pPr>
      <w:r w:rsidRPr="00300651">
        <w:rPr>
          <w:rStyle w:val="FootnoteReference"/>
          <w:sz w:val="22"/>
          <w:szCs w:val="22"/>
        </w:rPr>
        <w:footnoteRef/>
      </w:r>
      <w:r w:rsidRPr="00300651">
        <w:rPr>
          <w:sz w:val="22"/>
          <w:szCs w:val="22"/>
        </w:rPr>
        <w:t xml:space="preserve"> </w:t>
      </w:r>
      <w:r w:rsidRPr="00300651">
        <w:rPr>
          <w:i/>
          <w:color w:val="231F20"/>
          <w:sz w:val="22"/>
          <w:szCs w:val="22"/>
        </w:rPr>
        <w:t>Kaiser Aetna v. United States</w:t>
      </w:r>
      <w:r w:rsidRPr="00300651">
        <w:rPr>
          <w:color w:val="231F20"/>
          <w:sz w:val="22"/>
          <w:szCs w:val="22"/>
        </w:rPr>
        <w:t xml:space="preserve"> , 444 U.S. 164, 175 (1979).  (Justice Rehnquist’s decisions evidence knowledge of economic methods; e.g. </w:t>
      </w:r>
      <w:r w:rsidRPr="00300651">
        <w:rPr>
          <w:i/>
        </w:rPr>
        <w:t>DuQuesne</w:t>
      </w:r>
      <w:r>
        <w:rPr>
          <w:i/>
        </w:rPr>
        <w:t xml:space="preserve"> </w:t>
      </w:r>
      <w:r w:rsidRPr="00300651">
        <w:rPr>
          <w:i/>
        </w:rPr>
        <w:t xml:space="preserve"> Light Co. v. Barasch</w:t>
      </w:r>
      <w:r w:rsidRPr="00300651">
        <w:t>, 488 U.S. 299 (1989).</w:t>
      </w:r>
      <w:r w:rsidRPr="00300651">
        <w:rPr>
          <w:color w:val="231F20"/>
          <w:sz w:val="22"/>
          <w:szCs w:val="22"/>
        </w:rPr>
        <w:t xml:space="preserve">  Perhaps he changed “distinct” to “reasonable” because “reasonable returns” is and was more common jargon among analysts. )</w:t>
      </w:r>
    </w:p>
  </w:footnote>
  <w:footnote w:id="19">
    <w:p w:rsidR="00EC0EBF" w:rsidRDefault="00EC0EBF" w:rsidP="008207ED">
      <w:pPr>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iCs/>
          <w:color w:val="231F20"/>
          <w:sz w:val="22"/>
          <w:szCs w:val="22"/>
        </w:rPr>
        <w:t>Cienega Gardens v. United States</w:t>
      </w:r>
      <w:r w:rsidRPr="00300651">
        <w:rPr>
          <w:iCs/>
          <w:color w:val="231F20"/>
          <w:sz w:val="22"/>
          <w:szCs w:val="22"/>
        </w:rPr>
        <w:t>,</w:t>
      </w:r>
      <w:r>
        <w:rPr>
          <w:iCs/>
          <w:color w:val="231F20"/>
          <w:sz w:val="22"/>
          <w:szCs w:val="22"/>
        </w:rPr>
        <w:t xml:space="preserve"> </w:t>
      </w:r>
      <w:r w:rsidRPr="00300651">
        <w:rPr>
          <w:color w:val="231F20"/>
          <w:sz w:val="22"/>
          <w:szCs w:val="22"/>
        </w:rPr>
        <w:t>503 F.3d 1266, 1289 (Fed. Cir. 2007).</w:t>
      </w:r>
      <w:r w:rsidRPr="00300651">
        <w:rPr>
          <w:sz w:val="22"/>
          <w:szCs w:val="22"/>
        </w:rPr>
        <w:t xml:space="preserve"> </w:t>
      </w:r>
      <w:r>
        <w:rPr>
          <w:sz w:val="22"/>
          <w:szCs w:val="22"/>
        </w:rPr>
        <w:t xml:space="preserve"> </w:t>
      </w:r>
      <w:r w:rsidRPr="00300651">
        <w:rPr>
          <w:iCs/>
          <w:color w:val="231F20"/>
          <w:sz w:val="22"/>
          <w:szCs w:val="22"/>
        </w:rPr>
        <w:t>(</w:t>
      </w:r>
      <w:r>
        <w:rPr>
          <w:iCs/>
          <w:color w:val="231F20"/>
          <w:sz w:val="22"/>
          <w:szCs w:val="22"/>
        </w:rPr>
        <w:t>“</w:t>
      </w:r>
      <w:r w:rsidRPr="00300651">
        <w:rPr>
          <w:i/>
          <w:iCs/>
          <w:color w:val="231F20"/>
          <w:sz w:val="22"/>
          <w:szCs w:val="22"/>
        </w:rPr>
        <w:t>Cienega X.</w:t>
      </w:r>
      <w:r>
        <w:rPr>
          <w:i/>
          <w:iCs/>
          <w:color w:val="231F20"/>
          <w:sz w:val="22"/>
          <w:szCs w:val="22"/>
        </w:rPr>
        <w:t>”</w:t>
      </w:r>
      <w:r w:rsidRPr="00300651">
        <w:rPr>
          <w:iCs/>
          <w:color w:val="231F20"/>
          <w:sz w:val="22"/>
          <w:szCs w:val="22"/>
        </w:rPr>
        <w:t>)</w:t>
      </w:r>
    </w:p>
  </w:footnote>
  <w:footnote w:id="20">
    <w:p w:rsidR="00EC0EBF" w:rsidRDefault="00EC0EBF" w:rsidP="00AE19F9">
      <w:pPr>
        <w:spacing w:after="120"/>
      </w:pPr>
      <w:r w:rsidRPr="00300651">
        <w:rPr>
          <w:rStyle w:val="FootnoteReference"/>
          <w:sz w:val="22"/>
          <w:szCs w:val="22"/>
        </w:rPr>
        <w:footnoteRef/>
      </w:r>
      <w:r w:rsidRPr="00300651">
        <w:rPr>
          <w:sz w:val="22"/>
          <w:szCs w:val="22"/>
        </w:rPr>
        <w:t xml:space="preserve"> </w:t>
      </w:r>
      <w:r w:rsidRPr="00300651">
        <w:rPr>
          <w:i/>
          <w:sz w:val="22"/>
          <w:szCs w:val="22"/>
        </w:rPr>
        <w:t>Keystone Bituminous Coal Assn. v. DeBenedictis</w:t>
      </w:r>
      <w:r w:rsidRPr="00300651">
        <w:rPr>
          <w:sz w:val="22"/>
          <w:szCs w:val="22"/>
        </w:rPr>
        <w:t xml:space="preserve">  480 U.S. 470, 497 (1987).</w:t>
      </w:r>
      <w:r>
        <w:rPr>
          <w:sz w:val="22"/>
          <w:szCs w:val="22"/>
        </w:rPr>
        <w:t xml:space="preserve"> </w:t>
      </w:r>
      <w:r w:rsidRPr="00300651">
        <w:rPr>
          <w:sz w:val="22"/>
          <w:szCs w:val="22"/>
        </w:rPr>
        <w:t xml:space="preserve"> (emphasis added).  </w:t>
      </w:r>
    </w:p>
  </w:footnote>
  <w:footnote w:id="21">
    <w:p w:rsidR="00EC0EBF" w:rsidRDefault="00EC0EBF" w:rsidP="00D205FA">
      <w:pPr>
        <w:spacing w:after="120"/>
      </w:pPr>
      <w:r w:rsidRPr="00300651">
        <w:rPr>
          <w:rStyle w:val="FootnoteReference"/>
          <w:sz w:val="22"/>
          <w:szCs w:val="22"/>
        </w:rPr>
        <w:footnoteRef/>
      </w:r>
      <w:r w:rsidRPr="00300651">
        <w:rPr>
          <w:sz w:val="22"/>
          <w:szCs w:val="22"/>
        </w:rPr>
        <w:t xml:space="preserve"> 438 U.S. at 130-31.  ("Taking jurisprudence does not divide a single parcel into discrete segments and attempt to determine whether rights in a particular segment have been entirely abrogated. . . . [T]his Court focuses rather . . . [on] the parcel as a whole.")</w:t>
      </w:r>
    </w:p>
  </w:footnote>
  <w:footnote w:id="22">
    <w:p w:rsidR="00EC0EBF" w:rsidRDefault="00EC0EBF" w:rsidP="00D205FA">
      <w:pPr>
        <w:widowControl/>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iCs/>
          <w:color w:val="231F20"/>
          <w:sz w:val="22"/>
          <w:szCs w:val="22"/>
        </w:rPr>
        <w:t>Tahoe-Sierra Preservation Council, Inc. v. Tahoe Regional Planning Agency</w:t>
      </w:r>
      <w:r w:rsidRPr="00300651">
        <w:rPr>
          <w:color w:val="231F20"/>
          <w:sz w:val="22"/>
          <w:szCs w:val="22"/>
        </w:rPr>
        <w:t>,535 U.S. 302, 331-332 (2002). (“</w:t>
      </w:r>
      <w:r w:rsidRPr="00300651">
        <w:rPr>
          <w:sz w:val="22"/>
          <w:szCs w:val="22"/>
        </w:rPr>
        <w:t>Hence, a permanent deprivation of the owner’s use of the entire area is a taking of the parcel as a whole, whereas a temporary restriction that merely causes a diminution in value is not. Logically, a fee simple estate cannot be rendered valueless by a temporary prohibition on economic use, because the property will recover value as soon as the prohibition is lifted.”)</w:t>
      </w:r>
    </w:p>
  </w:footnote>
  <w:footnote w:id="23">
    <w:p w:rsidR="00EC0EBF" w:rsidRDefault="00EC0EBF" w:rsidP="00F10F4F">
      <w:pPr>
        <w:spacing w:after="120"/>
      </w:pPr>
      <w:r w:rsidRPr="00300651">
        <w:rPr>
          <w:rStyle w:val="FootnoteReference"/>
          <w:sz w:val="22"/>
          <w:szCs w:val="22"/>
        </w:rPr>
        <w:footnoteRef/>
      </w:r>
      <w:r w:rsidRPr="00300651">
        <w:rPr>
          <w:sz w:val="22"/>
          <w:szCs w:val="22"/>
        </w:rPr>
        <w:t xml:space="preserve"> </w:t>
      </w:r>
      <w:r w:rsidRPr="00300651">
        <w:rPr>
          <w:i/>
          <w:sz w:val="22"/>
          <w:szCs w:val="22"/>
        </w:rPr>
        <w:t>Fla. Rock Indus., Inc. v. United States</w:t>
      </w:r>
      <w:r w:rsidRPr="00300651">
        <w:rPr>
          <w:sz w:val="22"/>
          <w:szCs w:val="22"/>
        </w:rPr>
        <w:t>,</w:t>
      </w:r>
      <w:r w:rsidRPr="00300651">
        <w:rPr>
          <w:i/>
          <w:sz w:val="22"/>
          <w:szCs w:val="22"/>
        </w:rPr>
        <w:t xml:space="preserve"> </w:t>
      </w:r>
      <w:r w:rsidRPr="00300651">
        <w:rPr>
          <w:sz w:val="22"/>
          <w:szCs w:val="22"/>
        </w:rPr>
        <w:t xml:space="preserve">45 Fed. Cl. 21 (1999).  (Florida Rock was not the first taking decision that adopted competent economic testimony; </w:t>
      </w:r>
      <w:r w:rsidRPr="00300651">
        <w:rPr>
          <w:i/>
          <w:sz w:val="22"/>
          <w:szCs w:val="22"/>
        </w:rPr>
        <w:t>e.g</w:t>
      </w:r>
      <w:r w:rsidRPr="00300651">
        <w:rPr>
          <w:sz w:val="22"/>
          <w:szCs w:val="22"/>
        </w:rPr>
        <w:t xml:space="preserve">.,see </w:t>
      </w:r>
      <w:r w:rsidRPr="00300651">
        <w:rPr>
          <w:i/>
          <w:sz w:val="22"/>
          <w:szCs w:val="22"/>
        </w:rPr>
        <w:t>Whitney Benefits, Inc. v. United States</w:t>
      </w:r>
      <w:r w:rsidRPr="00300651">
        <w:rPr>
          <w:sz w:val="22"/>
          <w:szCs w:val="22"/>
        </w:rPr>
        <w:t xml:space="preserve">, 926 F.2d 1169 (Fed Cir.1991).  This was a coal case.  Plaintiff purchased the property before the 1977 passage of the SMCRA, which prohibited mining the coal.  Claimants demonstrated a competent mining plan, market demand, and reasonable investor expectations.   The United States finally paid $60 million in damages in 1995, plus interest, but not before arguing that cattle grazing was a viable alternative for the investment in the coal property and incurring a rebuke by the trial court.  </w:t>
      </w:r>
      <w:r w:rsidRPr="00064025">
        <w:rPr>
          <w:sz w:val="22"/>
          <w:szCs w:val="22"/>
        </w:rPr>
        <w:t>(The trial court ruled that the government's claim that some economic use remained as farming was "completely off the mark." (18 Cl. Ct. 394, 405 (1989).)</w:t>
      </w:r>
    </w:p>
  </w:footnote>
  <w:footnote w:id="24">
    <w:p w:rsidR="00EC0EBF" w:rsidRDefault="00EC0EBF" w:rsidP="005A23E6">
      <w:pPr>
        <w:pStyle w:val="FootnoteText"/>
      </w:pPr>
      <w:r w:rsidRPr="00300651">
        <w:rPr>
          <w:rStyle w:val="FootnoteReference"/>
          <w:sz w:val="22"/>
          <w:szCs w:val="22"/>
        </w:rPr>
        <w:footnoteRef/>
      </w:r>
      <w:r w:rsidRPr="00300651">
        <w:rPr>
          <w:bCs/>
          <w:i/>
          <w:iCs/>
          <w:snapToGrid w:val="0"/>
          <w:sz w:val="22"/>
          <w:szCs w:val="22"/>
        </w:rPr>
        <w:t xml:space="preserve"> Cienega Gardens v. United States,</w:t>
      </w:r>
      <w:r w:rsidRPr="00300651">
        <w:rPr>
          <w:snapToGrid w:val="0"/>
          <w:sz w:val="22"/>
          <w:szCs w:val="22"/>
        </w:rPr>
        <w:t xml:space="preserve"> </w:t>
      </w:r>
      <w:r>
        <w:rPr>
          <w:snapToGrid w:val="0"/>
          <w:sz w:val="22"/>
          <w:szCs w:val="22"/>
        </w:rPr>
        <w:t>3</w:t>
      </w:r>
      <w:r w:rsidRPr="00300651">
        <w:rPr>
          <w:snapToGrid w:val="0"/>
          <w:sz w:val="22"/>
          <w:szCs w:val="22"/>
        </w:rPr>
        <w:t>31 F.3d 1319 (Fed. Cir. 2003).</w:t>
      </w:r>
    </w:p>
  </w:footnote>
  <w:footnote w:id="25">
    <w:p w:rsidR="00EC0EBF" w:rsidRDefault="00EC0EBF" w:rsidP="005A23E6">
      <w:pPr>
        <w:pStyle w:val="FootnoteText"/>
      </w:pPr>
      <w:r w:rsidRPr="00300651">
        <w:rPr>
          <w:rStyle w:val="FootnoteReference"/>
          <w:sz w:val="22"/>
          <w:szCs w:val="22"/>
        </w:rPr>
        <w:footnoteRef/>
      </w:r>
      <w:r w:rsidRPr="00300651">
        <w:rPr>
          <w:sz w:val="22"/>
          <w:szCs w:val="22"/>
        </w:rPr>
        <w:t xml:space="preserve"> </w:t>
      </w:r>
      <w:r w:rsidRPr="00300651">
        <w:rPr>
          <w:i/>
          <w:sz w:val="22"/>
          <w:szCs w:val="22"/>
        </w:rPr>
        <w:t>See e.g.,</w:t>
      </w:r>
      <w:r w:rsidRPr="00300651">
        <w:rPr>
          <w:sz w:val="22"/>
          <w:szCs w:val="22"/>
        </w:rPr>
        <w:t xml:space="preserve"> </w:t>
      </w:r>
      <w:r w:rsidRPr="00300651">
        <w:rPr>
          <w:i/>
          <w:sz w:val="22"/>
          <w:szCs w:val="22"/>
        </w:rPr>
        <w:t>Cienega Gardens</w:t>
      </w:r>
      <w:r w:rsidRPr="00300651">
        <w:rPr>
          <w:sz w:val="22"/>
          <w:szCs w:val="22"/>
        </w:rPr>
        <w:t>, 331 F.3d at 1340.</w:t>
      </w:r>
    </w:p>
  </w:footnote>
  <w:footnote w:id="26">
    <w:p w:rsidR="00EC0EBF" w:rsidRDefault="00EC0EBF">
      <w:pPr>
        <w:pStyle w:val="FootnoteText"/>
      </w:pPr>
      <w:r w:rsidRPr="00300651">
        <w:rPr>
          <w:rStyle w:val="FootnoteReference"/>
          <w:sz w:val="22"/>
          <w:szCs w:val="22"/>
        </w:rPr>
        <w:footnoteRef/>
      </w:r>
      <w:r w:rsidRPr="00300651">
        <w:rPr>
          <w:sz w:val="22"/>
          <w:szCs w:val="22"/>
        </w:rPr>
        <w:t xml:space="preserve"> </w:t>
      </w:r>
      <w:r w:rsidRPr="00300651">
        <w:rPr>
          <w:i/>
          <w:sz w:val="22"/>
          <w:szCs w:val="22"/>
        </w:rPr>
        <w:t>Cienega Gardens v. United States,</w:t>
      </w:r>
      <w:r w:rsidRPr="00300651">
        <w:rPr>
          <w:sz w:val="22"/>
          <w:szCs w:val="22"/>
        </w:rPr>
        <w:t xml:space="preserve"> 503 F.3d 1266 (Fed. Cir. 2007), </w:t>
      </w:r>
      <w:r w:rsidRPr="00300651">
        <w:rPr>
          <w:i/>
          <w:sz w:val="22"/>
          <w:szCs w:val="22"/>
        </w:rPr>
        <w:t>pet. cert. filed</w:t>
      </w:r>
      <w:r w:rsidRPr="00300651">
        <w:rPr>
          <w:sz w:val="22"/>
          <w:szCs w:val="22"/>
        </w:rPr>
        <w:t xml:space="preserve"> 76 U.S.L.W. 3471 (U.S. Feb. 22, 2008) (No. 07-1101) (“</w:t>
      </w:r>
      <w:r w:rsidRPr="00300651">
        <w:rPr>
          <w:i/>
          <w:iCs/>
          <w:sz w:val="22"/>
          <w:szCs w:val="22"/>
        </w:rPr>
        <w:t>Cienega X”</w:t>
      </w:r>
      <w:r w:rsidRPr="00300651">
        <w:rPr>
          <w:sz w:val="22"/>
          <w:szCs w:val="22"/>
        </w:rPr>
        <w:t>). denied.</w:t>
      </w:r>
    </w:p>
  </w:footnote>
  <w:footnote w:id="27">
    <w:p w:rsidR="00EC0EBF" w:rsidRDefault="00EC0EBF">
      <w:pPr>
        <w:pStyle w:val="FootnoteText"/>
      </w:pPr>
      <w:r>
        <w:rPr>
          <w:rStyle w:val="FootnoteReference"/>
        </w:rPr>
        <w:footnoteRef/>
      </w:r>
      <w:r>
        <w:t xml:space="preserve"> </w:t>
      </w:r>
      <w:r w:rsidRPr="00300651">
        <w:rPr>
          <w:i/>
          <w:sz w:val="22"/>
          <w:szCs w:val="22"/>
        </w:rPr>
        <w:t>Cienega Gardens v. United States</w:t>
      </w:r>
      <w:r w:rsidRPr="00300651">
        <w:rPr>
          <w:sz w:val="22"/>
          <w:szCs w:val="22"/>
        </w:rPr>
        <w:t xml:space="preserve">, </w:t>
      </w:r>
      <w:r>
        <w:rPr>
          <w:sz w:val="22"/>
          <w:szCs w:val="22"/>
        </w:rPr>
        <w:t>67 Fed. Cl. 434</w:t>
      </w:r>
      <w:r w:rsidRPr="00300651">
        <w:rPr>
          <w:sz w:val="22"/>
          <w:szCs w:val="22"/>
        </w:rPr>
        <w:t xml:space="preserve"> (2005) </w:t>
      </w:r>
      <w:r w:rsidRPr="00300651">
        <w:rPr>
          <w:i/>
          <w:sz w:val="22"/>
          <w:szCs w:val="22"/>
        </w:rPr>
        <w:t>(“Cienega IX”)</w:t>
      </w:r>
      <w:r w:rsidRPr="00300651">
        <w:rPr>
          <w:sz w:val="22"/>
          <w:szCs w:val="22"/>
        </w:rPr>
        <w:t>.</w:t>
      </w:r>
    </w:p>
  </w:footnote>
  <w:footnote w:id="28">
    <w:p w:rsidR="00EC0EBF" w:rsidRDefault="00EC0EBF" w:rsidP="005A23E6">
      <w:pPr>
        <w:pStyle w:val="FootnoteText"/>
      </w:pPr>
      <w:r w:rsidRPr="00300651">
        <w:rPr>
          <w:rStyle w:val="FootnoteReference"/>
          <w:sz w:val="22"/>
          <w:szCs w:val="22"/>
        </w:rPr>
        <w:footnoteRef/>
      </w:r>
      <w:r w:rsidRPr="00300651">
        <w:rPr>
          <w:sz w:val="22"/>
          <w:szCs w:val="22"/>
        </w:rPr>
        <w:t xml:space="preserve"> </w:t>
      </w:r>
      <w:r w:rsidRPr="00300651">
        <w:rPr>
          <w:i/>
          <w:sz w:val="22"/>
          <w:szCs w:val="22"/>
        </w:rPr>
        <w:t>Fla. Rock</w:t>
      </w:r>
      <w:r w:rsidRPr="00300651">
        <w:rPr>
          <w:sz w:val="22"/>
          <w:szCs w:val="22"/>
        </w:rPr>
        <w:t>, 45 Fed. Cl. at 24.  (As the revenues after the change in regulation barely recovered half of the investment, return on investment was not at issue.)</w:t>
      </w:r>
    </w:p>
  </w:footnote>
  <w:footnote w:id="29">
    <w:p w:rsidR="00EC0EBF" w:rsidRDefault="00EC0EBF" w:rsidP="002A1BE9">
      <w:pPr>
        <w:tabs>
          <w:tab w:val="left" w:pos="0"/>
          <w:tab w:val="left" w:pos="180"/>
        </w:tabs>
        <w:spacing w:after="120"/>
      </w:pPr>
      <w:r w:rsidRPr="002A1BE9">
        <w:rPr>
          <w:rStyle w:val="FootnoteReference"/>
          <w:sz w:val="22"/>
          <w:szCs w:val="22"/>
        </w:rPr>
        <w:footnoteRef/>
      </w:r>
      <w:r w:rsidRPr="002A1BE9">
        <w:rPr>
          <w:sz w:val="22"/>
          <w:szCs w:val="22"/>
        </w:rPr>
        <w:t xml:space="preserve"> </w:t>
      </w:r>
      <w:r>
        <w:rPr>
          <w:sz w:val="22"/>
          <w:szCs w:val="22"/>
        </w:rPr>
        <w:t>“</w:t>
      </w:r>
      <w:r w:rsidRPr="002A1BE9">
        <w:rPr>
          <w:sz w:val="22"/>
          <w:szCs w:val="22"/>
        </w:rPr>
        <w:t xml:space="preserve">After permit denial the same property was worth only $2,822 per acre. </w:t>
      </w:r>
      <w:r>
        <w:rPr>
          <w:sz w:val="22"/>
          <w:szCs w:val="22"/>
        </w:rPr>
        <w:t>. . . [T]</w:t>
      </w:r>
      <w:r w:rsidRPr="002A1BE9">
        <w:rPr>
          <w:sz w:val="22"/>
          <w:szCs w:val="22"/>
        </w:rPr>
        <w:t xml:space="preserve">his amount is a 73.1% diminution in value.  </w:t>
      </w:r>
      <w:r w:rsidRPr="002A1BE9">
        <w:rPr>
          <w:i/>
          <w:sz w:val="22"/>
          <w:szCs w:val="22"/>
        </w:rPr>
        <w:t>The court does not rely on the magnitude of this diminution in value alone</w:t>
      </w:r>
      <w:r w:rsidRPr="002A1BE9">
        <w:rPr>
          <w:sz w:val="22"/>
          <w:szCs w:val="22"/>
        </w:rPr>
        <w:t xml:space="preserve">, however, to determine the severity of the economic impact to plaintiff resulting from permit denial. . . . </w:t>
      </w:r>
      <w:r>
        <w:rPr>
          <w:sz w:val="22"/>
          <w:szCs w:val="22"/>
        </w:rPr>
        <w:t xml:space="preserve"> </w:t>
      </w:r>
      <w:r w:rsidRPr="002A1BE9">
        <w:rPr>
          <w:sz w:val="22"/>
          <w:szCs w:val="22"/>
        </w:rPr>
        <w:t>Having considered Dr. Nicholas' credible testimony,</w:t>
      </w:r>
      <w:r>
        <w:rPr>
          <w:sz w:val="22"/>
          <w:szCs w:val="22"/>
        </w:rPr>
        <w:t xml:space="preserve"> . . . </w:t>
      </w:r>
      <w:r w:rsidRPr="002A1BE9">
        <w:rPr>
          <w:sz w:val="22"/>
          <w:szCs w:val="22"/>
        </w:rPr>
        <w:t xml:space="preserve"> the court finds that plaintiff could have recovered barely half of its inflation adjusted investment in the subject property through the only remaining means, resale as a speculative investment.</w:t>
      </w:r>
      <w:r>
        <w:rPr>
          <w:sz w:val="22"/>
          <w:szCs w:val="22"/>
        </w:rPr>
        <w:t>”</w:t>
      </w:r>
      <w:r w:rsidRPr="002A1BE9">
        <w:rPr>
          <w:sz w:val="22"/>
          <w:szCs w:val="22"/>
        </w:rPr>
        <w:t xml:space="preserve"> </w:t>
      </w:r>
      <w:r>
        <w:rPr>
          <w:sz w:val="22"/>
          <w:szCs w:val="22"/>
        </w:rPr>
        <w:t>(</w:t>
      </w:r>
      <w:r w:rsidRPr="002A1BE9">
        <w:rPr>
          <w:i/>
          <w:sz w:val="22"/>
          <w:szCs w:val="22"/>
        </w:rPr>
        <w:t>Id.</w:t>
      </w:r>
      <w:r w:rsidRPr="002A1BE9">
        <w:rPr>
          <w:sz w:val="22"/>
          <w:szCs w:val="22"/>
        </w:rPr>
        <w:t xml:space="preserve"> at 36-3</w:t>
      </w:r>
      <w:r>
        <w:rPr>
          <w:sz w:val="22"/>
          <w:szCs w:val="22"/>
        </w:rPr>
        <w:t xml:space="preserve">8. Emphasis added to call attention to the court’s non-reliance on percent diminution to evaluate the severity of economic impact.) </w:t>
      </w:r>
    </w:p>
  </w:footnote>
  <w:footnote w:id="30">
    <w:p w:rsidR="00EC0EBF" w:rsidRDefault="00EC0EBF" w:rsidP="00875CF1">
      <w:pPr>
        <w:widowControl/>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sz w:val="22"/>
          <w:szCs w:val="22"/>
        </w:rPr>
        <w:t>Id.</w:t>
      </w:r>
      <w:r w:rsidRPr="00300651">
        <w:rPr>
          <w:sz w:val="22"/>
          <w:szCs w:val="22"/>
        </w:rPr>
        <w:t xml:space="preserve"> at 21.  The discussion in </w:t>
      </w:r>
      <w:r w:rsidRPr="00300651">
        <w:rPr>
          <w:i/>
          <w:sz w:val="22"/>
          <w:szCs w:val="22"/>
        </w:rPr>
        <w:t>Florida Rock V</w:t>
      </w:r>
      <w:r w:rsidRPr="00300651">
        <w:rPr>
          <w:sz w:val="22"/>
          <w:szCs w:val="22"/>
        </w:rPr>
        <w:t xml:space="preserve"> adds clarity to a remark in an earlier Supreme Court case misconstrued into countless disputes as to how much diminution is enough, “Mere diminution in the value of property, however serious, is insufficient to demonstrate a taking.”  (</w:t>
      </w:r>
      <w:r w:rsidRPr="00300651">
        <w:rPr>
          <w:i/>
          <w:iCs/>
          <w:sz w:val="22"/>
          <w:szCs w:val="22"/>
        </w:rPr>
        <w:t>Concrete Pipe &amp; Prods. v. Construction Laborers Pension Trust</w:t>
      </w:r>
      <w:r w:rsidRPr="00300651">
        <w:rPr>
          <w:sz w:val="22"/>
          <w:szCs w:val="22"/>
        </w:rPr>
        <w:t>, 508 U.S. 602, 645 (1992).)</w:t>
      </w:r>
    </w:p>
  </w:footnote>
  <w:footnote w:id="31">
    <w:p w:rsidR="00EC0EBF" w:rsidRDefault="00EC0EBF" w:rsidP="0085553D">
      <w:pPr>
        <w:pStyle w:val="FootnoteText"/>
      </w:pPr>
      <w:r w:rsidRPr="001C07E3">
        <w:rPr>
          <w:rStyle w:val="FootnoteReference"/>
          <w:sz w:val="22"/>
          <w:szCs w:val="22"/>
        </w:rPr>
        <w:footnoteRef/>
      </w:r>
      <w:r w:rsidRPr="001C07E3">
        <w:rPr>
          <w:sz w:val="22"/>
          <w:szCs w:val="22"/>
        </w:rPr>
        <w:t xml:space="preserve"> </w:t>
      </w:r>
      <w:r>
        <w:rPr>
          <w:sz w:val="22"/>
          <w:szCs w:val="22"/>
        </w:rPr>
        <w:t xml:space="preserve">The Ninth Circuit </w:t>
      </w:r>
      <w:r w:rsidRPr="002D0EB2">
        <w:rPr>
          <w:i/>
          <w:sz w:val="22"/>
          <w:szCs w:val="22"/>
        </w:rPr>
        <w:t>En Banc</w:t>
      </w:r>
      <w:r>
        <w:rPr>
          <w:sz w:val="22"/>
          <w:szCs w:val="22"/>
        </w:rPr>
        <w:t xml:space="preserve"> decision in </w:t>
      </w:r>
      <w:r w:rsidRPr="002D0EB2">
        <w:rPr>
          <w:i/>
          <w:sz w:val="22"/>
          <w:szCs w:val="22"/>
        </w:rPr>
        <w:t>Guggenheim v. City of Goleta</w:t>
      </w:r>
      <w:r>
        <w:rPr>
          <w:sz w:val="22"/>
          <w:szCs w:val="22"/>
        </w:rPr>
        <w:t>, December 22, 2010, a California rent control case, is the most recent ruling to emphasize</w:t>
      </w:r>
      <w:r w:rsidRPr="00F056E3">
        <w:rPr>
          <w:i/>
          <w:sz w:val="22"/>
          <w:szCs w:val="22"/>
        </w:rPr>
        <w:t xml:space="preserve"> Lingle’s</w:t>
      </w:r>
      <w:r>
        <w:rPr>
          <w:sz w:val="22"/>
          <w:szCs w:val="22"/>
        </w:rPr>
        <w:t xml:space="preserve"> reliance on DIBE to deny a taking. (</w:t>
      </w:r>
      <w:r w:rsidRPr="001C07E3">
        <w:rPr>
          <w:sz w:val="22"/>
          <w:szCs w:val="22"/>
        </w:rPr>
        <w:t>“Primary among those factors are the economic impact of the regulation on the claimant and, particularly, the extent to which the regulation has interfered with distinct investment-backed expectations.”</w:t>
      </w:r>
      <w:r w:rsidRPr="001C07E3">
        <w:rPr>
          <w:rFonts w:ascii="Arial" w:hAnsi="Arial" w:cs="Arial"/>
          <w:b/>
          <w:bCs/>
          <w:sz w:val="22"/>
          <w:szCs w:val="22"/>
        </w:rPr>
        <w:t xml:space="preserve">  </w:t>
      </w:r>
      <w:r w:rsidRPr="001C07E3">
        <w:rPr>
          <w:i/>
          <w:iCs/>
          <w:sz w:val="22"/>
          <w:szCs w:val="22"/>
        </w:rPr>
        <w:t xml:space="preserve">Lingle 544 U.S. </w:t>
      </w:r>
      <w:r w:rsidRPr="001C07E3">
        <w:rPr>
          <w:sz w:val="22"/>
          <w:szCs w:val="22"/>
        </w:rPr>
        <w:t>at 538-39 (internal editorial and quotation marks omitted)</w:t>
      </w:r>
      <w:r>
        <w:rPr>
          <w:sz w:val="22"/>
          <w:szCs w:val="22"/>
        </w:rPr>
        <w:t>)</w:t>
      </w:r>
      <w:r w:rsidRPr="001C07E3">
        <w:rPr>
          <w:sz w:val="22"/>
          <w:szCs w:val="22"/>
        </w:rPr>
        <w:t>.</w:t>
      </w:r>
      <w:r>
        <w:rPr>
          <w:sz w:val="22"/>
          <w:szCs w:val="22"/>
        </w:rPr>
        <w:t xml:space="preserve">  The Ninth Circuit ruled “</w:t>
      </w:r>
      <w:r w:rsidRPr="001C07E3">
        <w:rPr>
          <w:sz w:val="22"/>
          <w:szCs w:val="22"/>
        </w:rPr>
        <w:t xml:space="preserve">The case before us turns on the “primary” factor. </w:t>
      </w:r>
      <w:r w:rsidRPr="001C07E3">
        <w:rPr>
          <w:b/>
          <w:bCs/>
          <w:sz w:val="22"/>
          <w:szCs w:val="22"/>
        </w:rPr>
        <w:t xml:space="preserve"> </w:t>
      </w:r>
      <w:r w:rsidRPr="001C07E3">
        <w:rPr>
          <w:sz w:val="22"/>
          <w:szCs w:val="22"/>
        </w:rPr>
        <w:t>That “primary factor,” “the extent to which the regulation has interfered with distinct investment-backed expectations,” is fatal to the Guggenheims’ claim.</w:t>
      </w:r>
      <w:r>
        <w:rPr>
          <w:sz w:val="22"/>
          <w:szCs w:val="22"/>
        </w:rPr>
        <w:t xml:space="preserve">” The </w:t>
      </w:r>
      <w:r w:rsidRPr="00751B03">
        <w:rPr>
          <w:i/>
          <w:sz w:val="22"/>
          <w:szCs w:val="22"/>
        </w:rPr>
        <w:t>En Banc</w:t>
      </w:r>
      <w:r>
        <w:rPr>
          <w:sz w:val="22"/>
          <w:szCs w:val="22"/>
        </w:rPr>
        <w:t xml:space="preserve"> decision reversed </w:t>
      </w:r>
      <w:r w:rsidRPr="002433D0">
        <w:rPr>
          <w:i/>
          <w:sz w:val="22"/>
          <w:szCs w:val="22"/>
        </w:rPr>
        <w:t>Guggenheim v. City of Goleta</w:t>
      </w:r>
      <w:r w:rsidRPr="002433D0">
        <w:rPr>
          <w:sz w:val="22"/>
          <w:szCs w:val="22"/>
        </w:rPr>
        <w:t xml:space="preserve">, </w:t>
      </w:r>
      <w:bookmarkStart w:id="1" w:name="OLE_LINK1"/>
      <w:bookmarkStart w:id="2" w:name="OLE_LINK2"/>
      <w:r w:rsidRPr="002433D0">
        <w:rPr>
          <w:bCs/>
          <w:i/>
          <w:iCs/>
          <w:sz w:val="22"/>
          <w:szCs w:val="22"/>
        </w:rPr>
        <w:t xml:space="preserve">582 F.3d 996 </w:t>
      </w:r>
      <w:bookmarkEnd w:id="1"/>
      <w:bookmarkEnd w:id="2"/>
      <w:r w:rsidRPr="002433D0">
        <w:rPr>
          <w:bCs/>
          <w:iCs/>
          <w:sz w:val="22"/>
          <w:szCs w:val="22"/>
        </w:rPr>
        <w:t xml:space="preserve">(9th Cir. </w:t>
      </w:r>
      <w:r w:rsidRPr="002433D0">
        <w:rPr>
          <w:bCs/>
          <w:i/>
          <w:iCs/>
          <w:sz w:val="22"/>
          <w:szCs w:val="22"/>
        </w:rPr>
        <w:t>2009</w:t>
      </w:r>
      <w:r w:rsidRPr="002433D0">
        <w:rPr>
          <w:bCs/>
          <w:iCs/>
          <w:sz w:val="22"/>
          <w:szCs w:val="22"/>
        </w:rPr>
        <w:t>)</w:t>
      </w:r>
      <w:r>
        <w:rPr>
          <w:bCs/>
          <w:iCs/>
          <w:sz w:val="22"/>
          <w:szCs w:val="22"/>
        </w:rPr>
        <w:t xml:space="preserve"> affirming the district court denial of a taking </w:t>
      </w:r>
      <w:r w:rsidRPr="002433D0">
        <w:rPr>
          <w:i/>
          <w:sz w:val="22"/>
          <w:szCs w:val="22"/>
        </w:rPr>
        <w:t xml:space="preserve"> </w:t>
      </w:r>
      <w:r>
        <w:rPr>
          <w:i/>
          <w:sz w:val="22"/>
          <w:szCs w:val="22"/>
        </w:rPr>
        <w:t>(</w:t>
      </w:r>
      <w:r w:rsidRPr="002433D0">
        <w:rPr>
          <w:i/>
          <w:sz w:val="22"/>
          <w:szCs w:val="22"/>
        </w:rPr>
        <w:t xml:space="preserve">Guggenheim v. City of Goleta, </w:t>
      </w:r>
      <w:r w:rsidRPr="002433D0">
        <w:rPr>
          <w:sz w:val="22"/>
          <w:szCs w:val="22"/>
        </w:rPr>
        <w:t>United States District Court Central District of California, CV 02-2478 FMC (RZx), September 6, 2006.</w:t>
      </w:r>
      <w:r>
        <w:rPr>
          <w:sz w:val="22"/>
          <w:szCs w:val="22"/>
        </w:rPr>
        <w:t xml:space="preserve">)  </w:t>
      </w:r>
      <w:r w:rsidRPr="00F056E3">
        <w:rPr>
          <w:i/>
          <w:sz w:val="22"/>
          <w:szCs w:val="22"/>
        </w:rPr>
        <w:t>Pet. Cert</w:t>
      </w:r>
      <w:r>
        <w:rPr>
          <w:sz w:val="22"/>
          <w:szCs w:val="22"/>
        </w:rPr>
        <w:t>. March 11, 2011.</w:t>
      </w:r>
    </w:p>
  </w:footnote>
  <w:footnote w:id="32">
    <w:p w:rsidR="00EC0EBF" w:rsidRDefault="00EC0EBF" w:rsidP="00AE19F9">
      <w:pPr>
        <w:pStyle w:val="FootnoteText"/>
      </w:pPr>
      <w:r w:rsidRPr="00300651">
        <w:rPr>
          <w:rStyle w:val="FootnoteReference"/>
          <w:sz w:val="22"/>
          <w:szCs w:val="22"/>
        </w:rPr>
        <w:footnoteRef/>
      </w:r>
      <w:r>
        <w:rPr>
          <w:i/>
          <w:sz w:val="22"/>
          <w:szCs w:val="22"/>
        </w:rPr>
        <w:t xml:space="preserve"> Fl. Rock V, </w:t>
      </w:r>
      <w:r w:rsidRPr="005F1AB4">
        <w:rPr>
          <w:sz w:val="22"/>
          <w:szCs w:val="22"/>
        </w:rPr>
        <w:t>45 Fed.</w:t>
      </w:r>
      <w:r>
        <w:rPr>
          <w:sz w:val="22"/>
          <w:szCs w:val="22"/>
        </w:rPr>
        <w:t xml:space="preserve"> </w:t>
      </w:r>
      <w:r w:rsidRPr="005F1AB4">
        <w:rPr>
          <w:sz w:val="22"/>
          <w:szCs w:val="22"/>
        </w:rPr>
        <w:t>Cl</w:t>
      </w:r>
      <w:r w:rsidRPr="00300651">
        <w:rPr>
          <w:i/>
          <w:sz w:val="22"/>
          <w:szCs w:val="22"/>
        </w:rPr>
        <w:t>.</w:t>
      </w:r>
      <w:r w:rsidRPr="00300651">
        <w:rPr>
          <w:sz w:val="22"/>
          <w:szCs w:val="22"/>
        </w:rPr>
        <w:t xml:space="preserve"> at 38.</w:t>
      </w:r>
    </w:p>
  </w:footnote>
  <w:footnote w:id="33">
    <w:p w:rsidR="00EC0EBF" w:rsidRDefault="00EC0EBF" w:rsidP="00037989">
      <w:pPr>
        <w:pStyle w:val="FootnoteText"/>
      </w:pPr>
      <w:r w:rsidRPr="00300651">
        <w:rPr>
          <w:rStyle w:val="FootnoteReference"/>
          <w:sz w:val="22"/>
          <w:szCs w:val="22"/>
        </w:rPr>
        <w:footnoteRef/>
      </w:r>
      <w:r w:rsidRPr="00300651">
        <w:rPr>
          <w:sz w:val="22"/>
          <w:szCs w:val="22"/>
        </w:rPr>
        <w:t xml:space="preserve"> </w:t>
      </w:r>
      <w:r w:rsidRPr="00300651">
        <w:rPr>
          <w:i/>
          <w:color w:val="000000"/>
          <w:sz w:val="22"/>
          <w:szCs w:val="22"/>
        </w:rPr>
        <w:t>Cienega VIII</w:t>
      </w:r>
      <w:r w:rsidRPr="00300651">
        <w:rPr>
          <w:color w:val="000000"/>
          <w:sz w:val="22"/>
          <w:szCs w:val="22"/>
        </w:rPr>
        <w:t xml:space="preserve">, </w:t>
      </w:r>
      <w:r w:rsidRPr="00300651">
        <w:rPr>
          <w:snapToGrid w:val="0"/>
          <w:sz w:val="22"/>
          <w:szCs w:val="22"/>
        </w:rPr>
        <w:t xml:space="preserve">331 F.3d </w:t>
      </w:r>
      <w:r w:rsidRPr="00300651">
        <w:rPr>
          <w:color w:val="000000"/>
          <w:sz w:val="22"/>
          <w:szCs w:val="22"/>
        </w:rPr>
        <w:t>at 1340.</w:t>
      </w:r>
      <w:r w:rsidRPr="00300651">
        <w:rPr>
          <w:spacing w:val="-3"/>
          <w:sz w:val="22"/>
          <w:szCs w:val="22"/>
        </w:rPr>
        <w:t xml:space="preserve">  </w:t>
      </w:r>
    </w:p>
  </w:footnote>
  <w:footnote w:id="34">
    <w:p w:rsidR="00EC0EBF" w:rsidRDefault="00EC0EBF" w:rsidP="00B43FB2">
      <w:pPr>
        <w:pStyle w:val="FootnoteText"/>
      </w:pPr>
      <w:r w:rsidRPr="00300651">
        <w:rPr>
          <w:rStyle w:val="FootnoteReference"/>
          <w:sz w:val="22"/>
          <w:szCs w:val="22"/>
        </w:rPr>
        <w:footnoteRef/>
      </w:r>
      <w:r w:rsidRPr="00300651">
        <w:rPr>
          <w:sz w:val="22"/>
          <w:szCs w:val="22"/>
        </w:rPr>
        <w:t xml:space="preserve"> </w:t>
      </w:r>
      <w:r w:rsidRPr="00300651">
        <w:rPr>
          <w:i/>
          <w:sz w:val="22"/>
          <w:szCs w:val="22"/>
        </w:rPr>
        <w:t>Id</w:t>
      </w:r>
      <w:r w:rsidRPr="00300651">
        <w:rPr>
          <w:sz w:val="22"/>
          <w:szCs w:val="22"/>
        </w:rPr>
        <w:t>. at 1333.</w:t>
      </w:r>
    </w:p>
  </w:footnote>
  <w:footnote w:id="35">
    <w:p w:rsidR="00EC0EBF" w:rsidRDefault="00EC0EBF" w:rsidP="00E42160">
      <w:pPr>
        <w:spacing w:after="120"/>
        <w:ind w:left="270" w:hanging="270"/>
      </w:pPr>
      <w:r w:rsidRPr="00300651">
        <w:rPr>
          <w:rStyle w:val="FootnoteReference"/>
          <w:sz w:val="22"/>
          <w:szCs w:val="22"/>
        </w:rPr>
        <w:footnoteRef/>
      </w:r>
      <w:r w:rsidRPr="00300651">
        <w:rPr>
          <w:sz w:val="22"/>
          <w:szCs w:val="22"/>
        </w:rPr>
        <w:t xml:space="preserve"> </w:t>
      </w:r>
      <w:r w:rsidRPr="00DE4776">
        <w:rPr>
          <w:sz w:val="22"/>
          <w:szCs w:val="22"/>
        </w:rPr>
        <w:t>John Maynard Keynes</w:t>
      </w:r>
      <w:r w:rsidRPr="00300651">
        <w:rPr>
          <w:smallCaps/>
          <w:sz w:val="22"/>
          <w:szCs w:val="22"/>
        </w:rPr>
        <w:t xml:space="preserve">, </w:t>
      </w:r>
      <w:r>
        <w:rPr>
          <w:smallCaps/>
          <w:sz w:val="22"/>
          <w:szCs w:val="22"/>
        </w:rPr>
        <w:t xml:space="preserve"> </w:t>
      </w:r>
      <w:r w:rsidRPr="00300651">
        <w:rPr>
          <w:smallCaps/>
          <w:sz w:val="22"/>
          <w:szCs w:val="22"/>
        </w:rPr>
        <w:t xml:space="preserve">General Theory of Employment, Interest, </w:t>
      </w:r>
      <w:r>
        <w:rPr>
          <w:smallCaps/>
          <w:sz w:val="22"/>
          <w:szCs w:val="22"/>
        </w:rPr>
        <w:t xml:space="preserve"> </w:t>
      </w:r>
      <w:r w:rsidRPr="00300651">
        <w:rPr>
          <w:smallCaps/>
          <w:sz w:val="22"/>
          <w:szCs w:val="22"/>
        </w:rPr>
        <w:t>and Money</w:t>
      </w:r>
      <w:r w:rsidRPr="00300651">
        <w:rPr>
          <w:sz w:val="22"/>
          <w:szCs w:val="22"/>
        </w:rPr>
        <w:t xml:space="preserve"> 135, 225 (Harcourt, Brace &amp; World eds., 1936).</w:t>
      </w:r>
    </w:p>
  </w:footnote>
  <w:footnote w:id="36">
    <w:p w:rsidR="00EC0EBF" w:rsidRDefault="00EC0EBF" w:rsidP="00E42160">
      <w:pPr>
        <w:pStyle w:val="Heading3"/>
        <w:spacing w:before="0" w:beforeAutospacing="0" w:after="120" w:afterAutospacing="0"/>
      </w:pPr>
      <w:r w:rsidRPr="00300651">
        <w:rPr>
          <w:rStyle w:val="FootnoteReference"/>
          <w:b w:val="0"/>
          <w:sz w:val="22"/>
          <w:szCs w:val="22"/>
        </w:rPr>
        <w:footnoteRef/>
      </w:r>
      <w:r w:rsidRPr="00300651">
        <w:rPr>
          <w:b w:val="0"/>
          <w:sz w:val="22"/>
          <w:szCs w:val="22"/>
        </w:rPr>
        <w:t xml:space="preserve"> </w:t>
      </w:r>
      <w:r w:rsidRPr="00300651">
        <w:rPr>
          <w:b w:val="0"/>
          <w:i/>
          <w:sz w:val="22"/>
          <w:szCs w:val="22"/>
        </w:rPr>
        <w:t>Pennsylvania Coal Co. v. Mahon</w:t>
      </w:r>
      <w:r w:rsidRPr="00300651">
        <w:rPr>
          <w:b w:val="0"/>
          <w:sz w:val="22"/>
          <w:szCs w:val="22"/>
        </w:rPr>
        <w:t>, 260 U.S. 393, 415 (1922)</w:t>
      </w:r>
      <w:r w:rsidRPr="00300651">
        <w:rPr>
          <w:b w:val="0"/>
          <w:color w:val="231F20"/>
          <w:sz w:val="22"/>
          <w:szCs w:val="22"/>
        </w:rPr>
        <w:t xml:space="preserve">. </w:t>
      </w:r>
    </w:p>
  </w:footnote>
  <w:footnote w:id="37">
    <w:p w:rsidR="00EC0EBF" w:rsidRDefault="00EC0EBF">
      <w:pPr>
        <w:pStyle w:val="FootnoteText"/>
      </w:pPr>
      <w:r w:rsidRPr="00413535">
        <w:rPr>
          <w:rStyle w:val="FootnoteReference"/>
          <w:sz w:val="22"/>
          <w:szCs w:val="22"/>
        </w:rPr>
        <w:footnoteRef/>
      </w:r>
      <w:r w:rsidRPr="00413535">
        <w:rPr>
          <w:sz w:val="22"/>
          <w:szCs w:val="22"/>
        </w:rPr>
        <w:t xml:space="preserve"> Ci</w:t>
      </w:r>
      <w:r w:rsidRPr="00413535">
        <w:rPr>
          <w:i/>
          <w:sz w:val="22"/>
          <w:szCs w:val="22"/>
        </w:rPr>
        <w:t xml:space="preserve">enega VIII 331 F.3d at </w:t>
      </w:r>
      <w:r w:rsidRPr="00413535">
        <w:rPr>
          <w:sz w:val="22"/>
          <w:szCs w:val="22"/>
        </w:rPr>
        <w:t>1343 n.39. (</w:t>
      </w:r>
      <w:r w:rsidRPr="00413535">
        <w:rPr>
          <w:color w:val="231F20"/>
          <w:sz w:val="22"/>
          <w:szCs w:val="22"/>
        </w:rPr>
        <w:t xml:space="preserve">“We do this [percent diminution] calculation only to have a percentage loss to compare with other takings cases in which a percentage loss was described. A 0.3 percent rate of return may signify a ‘serious financial loss’ with no need to resort to further calculation, but as all of the precedent cited to us involves percentages showing loss, we think it useful to make the further calculation.” </w:t>
      </w:r>
    </w:p>
  </w:footnote>
  <w:footnote w:id="38">
    <w:p w:rsidR="00EC0EBF" w:rsidRDefault="00EC0EBF" w:rsidP="00F651F3">
      <w:pPr>
        <w:autoSpaceDE w:val="0"/>
        <w:autoSpaceDN w:val="0"/>
        <w:adjustRightInd w:val="0"/>
        <w:spacing w:after="120"/>
      </w:pPr>
      <w:r w:rsidRPr="00300651">
        <w:rPr>
          <w:rStyle w:val="FootnoteReference"/>
          <w:sz w:val="22"/>
          <w:szCs w:val="22"/>
        </w:rPr>
        <w:footnoteRef/>
      </w:r>
      <w:r>
        <w:rPr>
          <w:sz w:val="22"/>
          <w:szCs w:val="22"/>
        </w:rPr>
        <w:t xml:space="preserve"> </w:t>
      </w:r>
      <w:r>
        <w:rPr>
          <w:i/>
          <w:sz w:val="22"/>
          <w:szCs w:val="22"/>
        </w:rPr>
        <w:t>“Cienega IX,”</w:t>
      </w:r>
      <w:r w:rsidRPr="00300651">
        <w:rPr>
          <w:sz w:val="22"/>
          <w:szCs w:val="22"/>
        </w:rPr>
        <w:t xml:space="preserve"> 67 Fed. Cl. </w:t>
      </w:r>
      <w:r>
        <w:rPr>
          <w:sz w:val="22"/>
          <w:szCs w:val="22"/>
        </w:rPr>
        <w:t>at</w:t>
      </w:r>
      <w:r w:rsidRPr="00300651">
        <w:rPr>
          <w:sz w:val="22"/>
          <w:szCs w:val="22"/>
        </w:rPr>
        <w:t xml:space="preserve"> 475</w:t>
      </w:r>
      <w:r>
        <w:rPr>
          <w:sz w:val="22"/>
          <w:szCs w:val="22"/>
        </w:rPr>
        <w:t>.</w:t>
      </w:r>
      <w:r w:rsidRPr="00300651">
        <w:rPr>
          <w:sz w:val="22"/>
          <w:szCs w:val="22"/>
        </w:rPr>
        <w:t xml:space="preserve"> </w:t>
      </w:r>
    </w:p>
  </w:footnote>
  <w:footnote w:id="39">
    <w:p w:rsidR="00EC0EBF" w:rsidRDefault="00EC0EBF" w:rsidP="00F651F3">
      <w:pPr>
        <w:widowControl/>
        <w:autoSpaceDE w:val="0"/>
        <w:autoSpaceDN w:val="0"/>
        <w:adjustRightInd w:val="0"/>
        <w:snapToGrid w:val="0"/>
        <w:spacing w:after="120"/>
      </w:pPr>
      <w:r w:rsidRPr="00300651">
        <w:rPr>
          <w:rStyle w:val="FootnoteReference"/>
          <w:sz w:val="22"/>
          <w:szCs w:val="22"/>
        </w:rPr>
        <w:footnoteRef/>
      </w:r>
      <w:r w:rsidRPr="00300651">
        <w:rPr>
          <w:sz w:val="22"/>
          <w:szCs w:val="22"/>
        </w:rPr>
        <w:t xml:space="preserve"> The interested reader will discover additional information about </w:t>
      </w:r>
      <w:r w:rsidRPr="00300651">
        <w:rPr>
          <w:i/>
          <w:sz w:val="22"/>
          <w:szCs w:val="22"/>
        </w:rPr>
        <w:t>Cienega X</w:t>
      </w:r>
      <w:r w:rsidRPr="00300651">
        <w:rPr>
          <w:sz w:val="22"/>
          <w:szCs w:val="22"/>
        </w:rPr>
        <w:t xml:space="preserve"> in the author’s 2008 article</w:t>
      </w:r>
      <w:r w:rsidRPr="00300651">
        <w:rPr>
          <w:color w:val="000000"/>
          <w:sz w:val="22"/>
          <w:szCs w:val="22"/>
        </w:rPr>
        <w:t xml:space="preserve">, “Confusion About </w:t>
      </w:r>
      <w:r w:rsidRPr="00300651">
        <w:rPr>
          <w:i/>
          <w:color w:val="000000"/>
          <w:sz w:val="22"/>
          <w:szCs w:val="22"/>
        </w:rPr>
        <w:t>Change in Value</w:t>
      </w:r>
      <w:r w:rsidRPr="00300651">
        <w:rPr>
          <w:color w:val="000000"/>
          <w:sz w:val="22"/>
          <w:szCs w:val="22"/>
        </w:rPr>
        <w:t xml:space="preserve"> and </w:t>
      </w:r>
      <w:r w:rsidRPr="00300651">
        <w:rPr>
          <w:i/>
          <w:color w:val="000000"/>
          <w:sz w:val="22"/>
          <w:szCs w:val="22"/>
        </w:rPr>
        <w:t>Return on Equity</w:t>
      </w:r>
      <w:r w:rsidRPr="00300651">
        <w:rPr>
          <w:color w:val="000000"/>
          <w:sz w:val="22"/>
          <w:szCs w:val="22"/>
        </w:rPr>
        <w:t xml:space="preserve"> Approaches to the Penn Central Test in Temporary Takings, 38 ELR 10486 (July 2008).</w:t>
      </w:r>
    </w:p>
  </w:footnote>
  <w:footnote w:id="40">
    <w:p w:rsidR="00EC0EBF" w:rsidRDefault="00EC0EBF" w:rsidP="00F651F3">
      <w:pPr>
        <w:pStyle w:val="FootnoteText"/>
      </w:pPr>
      <w:r w:rsidRPr="00300651">
        <w:rPr>
          <w:rStyle w:val="FootnoteReference"/>
          <w:sz w:val="22"/>
          <w:szCs w:val="22"/>
        </w:rPr>
        <w:footnoteRef/>
      </w:r>
      <w:r w:rsidRPr="00300651">
        <w:rPr>
          <w:sz w:val="22"/>
          <w:szCs w:val="22"/>
        </w:rPr>
        <w:t xml:space="preserve"> </w:t>
      </w:r>
      <w:r w:rsidRPr="00300651">
        <w:rPr>
          <w:i/>
          <w:sz w:val="22"/>
          <w:szCs w:val="22"/>
        </w:rPr>
        <w:t>Cienega Gardens v. United States,</w:t>
      </w:r>
      <w:r w:rsidRPr="00300651">
        <w:rPr>
          <w:sz w:val="22"/>
          <w:szCs w:val="22"/>
        </w:rPr>
        <w:t xml:space="preserve"> 503 F.3d 1266 , 1280 (Fed. Cir. 2007), </w:t>
      </w:r>
      <w:r w:rsidRPr="00300651">
        <w:rPr>
          <w:i/>
          <w:sz w:val="22"/>
          <w:szCs w:val="22"/>
        </w:rPr>
        <w:t>pet. cert. filed</w:t>
      </w:r>
      <w:r w:rsidRPr="00300651">
        <w:rPr>
          <w:sz w:val="22"/>
          <w:szCs w:val="22"/>
        </w:rPr>
        <w:t xml:space="preserve"> 76 U.S.L.W. 3471 (U.S. Feb. 22, 2008) (No. 07-1101) (“</w:t>
      </w:r>
      <w:r w:rsidRPr="00300651">
        <w:rPr>
          <w:i/>
          <w:iCs/>
          <w:sz w:val="22"/>
          <w:szCs w:val="22"/>
        </w:rPr>
        <w:t>Cienega X”</w:t>
      </w:r>
      <w:r w:rsidRPr="00300651">
        <w:rPr>
          <w:sz w:val="22"/>
          <w:szCs w:val="22"/>
        </w:rPr>
        <w:t>). denied. (citing</w:t>
      </w:r>
      <w:r w:rsidRPr="00300651">
        <w:rPr>
          <w:i/>
          <w:sz w:val="22"/>
          <w:szCs w:val="22"/>
        </w:rPr>
        <w:t xml:space="preserve"> Cienega IX</w:t>
      </w:r>
      <w:r w:rsidRPr="00300651">
        <w:rPr>
          <w:sz w:val="22"/>
          <w:szCs w:val="22"/>
        </w:rPr>
        <w:t>, 67 Fed. Cl. at 475-76).  (</w:t>
      </w:r>
      <w:r w:rsidRPr="00300651">
        <w:rPr>
          <w:i/>
          <w:sz w:val="22"/>
          <w:szCs w:val="22"/>
        </w:rPr>
        <w:t xml:space="preserve">“Cienega X”) </w:t>
      </w:r>
      <w:r w:rsidRPr="00300651">
        <w:rPr>
          <w:sz w:val="22"/>
          <w:szCs w:val="22"/>
        </w:rPr>
        <w:t xml:space="preserve">(Actually, plaintiff economists testified that return on equity for </w:t>
      </w:r>
      <w:r w:rsidRPr="00300651">
        <w:rPr>
          <w:sz w:val="22"/>
          <w:szCs w:val="22"/>
          <w:u w:val="single"/>
        </w:rPr>
        <w:t>all</w:t>
      </w:r>
      <w:r w:rsidRPr="00300651">
        <w:rPr>
          <w:sz w:val="22"/>
          <w:szCs w:val="22"/>
        </w:rPr>
        <w:t xml:space="preserve"> years during the taking period failed to come close to owners’ opportunity cost of capital. I testified for Chancellor Manor plaintiffs, which was litigated together with Cienega Gardens.)</w:t>
      </w:r>
    </w:p>
  </w:footnote>
  <w:footnote w:id="41">
    <w:p w:rsidR="00EC0EBF" w:rsidRDefault="00EC0EBF">
      <w:pPr>
        <w:pStyle w:val="FootnoteText"/>
      </w:pPr>
      <w:r>
        <w:rPr>
          <w:rStyle w:val="FootnoteReference"/>
        </w:rPr>
        <w:footnoteRef/>
      </w:r>
      <w:r>
        <w:t xml:space="preserve"> Check out the annual report of any traded company to find the reported current and history of its return on equity.</w:t>
      </w:r>
    </w:p>
  </w:footnote>
  <w:footnote w:id="42">
    <w:p w:rsidR="00EC0EBF" w:rsidRDefault="00EC0EBF" w:rsidP="00F651F3">
      <w:pPr>
        <w:widowControl/>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sz w:val="22"/>
          <w:szCs w:val="22"/>
        </w:rPr>
        <w:t>Tahoe-Sierra Pres. Council v. Tahoe Reg’l Planning Agency</w:t>
      </w:r>
      <w:r w:rsidRPr="00300651">
        <w:rPr>
          <w:sz w:val="22"/>
          <w:szCs w:val="22"/>
        </w:rPr>
        <w:t>, 535 U.S. 302, 327 (2002). “[E]ven though multiple factors are relevant in the analysis of regulatory takings claims, in such cases we must focus on “the parcel as a whole.”</w:t>
      </w:r>
    </w:p>
  </w:footnote>
  <w:footnote w:id="43">
    <w:p w:rsidR="00EC0EBF" w:rsidRDefault="00EC0EBF" w:rsidP="00F651F3">
      <w:pPr>
        <w:pStyle w:val="FootnoteText"/>
      </w:pPr>
      <w:r w:rsidRPr="00300651">
        <w:rPr>
          <w:rStyle w:val="FootnoteReference"/>
          <w:sz w:val="22"/>
          <w:szCs w:val="22"/>
        </w:rPr>
        <w:footnoteRef/>
      </w:r>
      <w:r w:rsidRPr="00300651">
        <w:rPr>
          <w:sz w:val="22"/>
          <w:szCs w:val="22"/>
        </w:rPr>
        <w:t xml:space="preserve"> </w:t>
      </w:r>
      <w:r w:rsidRPr="00300651">
        <w:rPr>
          <w:i/>
          <w:sz w:val="22"/>
          <w:szCs w:val="22"/>
        </w:rPr>
        <w:t>Cienega X</w:t>
      </w:r>
      <w:r w:rsidRPr="00300651">
        <w:rPr>
          <w:sz w:val="22"/>
          <w:szCs w:val="22"/>
        </w:rPr>
        <w:t>, 503 F.3d at 1281.</w:t>
      </w:r>
      <w:r w:rsidRPr="00890F85">
        <w:rPr>
          <w:i/>
          <w:sz w:val="22"/>
          <w:szCs w:val="22"/>
        </w:rPr>
        <w:t xml:space="preserve"> </w:t>
      </w:r>
    </w:p>
  </w:footnote>
  <w:footnote w:id="44">
    <w:p w:rsidR="00EC0EBF" w:rsidRDefault="00EC0EBF">
      <w:pPr>
        <w:pStyle w:val="FootnoteText"/>
      </w:pPr>
      <w:r w:rsidRPr="00300651">
        <w:rPr>
          <w:rStyle w:val="FootnoteReference"/>
          <w:sz w:val="22"/>
          <w:szCs w:val="22"/>
        </w:rPr>
        <w:footnoteRef/>
      </w:r>
      <w:r w:rsidRPr="00300651">
        <w:rPr>
          <w:sz w:val="22"/>
          <w:szCs w:val="22"/>
        </w:rPr>
        <w:t xml:space="preserve"> Reliance on </w:t>
      </w:r>
      <w:r w:rsidRPr="00300651">
        <w:rPr>
          <w:i/>
          <w:sz w:val="22"/>
          <w:szCs w:val="22"/>
        </w:rPr>
        <w:t xml:space="preserve">Tahoe-Sierra </w:t>
      </w:r>
      <w:r w:rsidRPr="00300651">
        <w:rPr>
          <w:sz w:val="22"/>
          <w:szCs w:val="22"/>
        </w:rPr>
        <w:t>is misplaced</w:t>
      </w:r>
      <w:r w:rsidRPr="00300651">
        <w:rPr>
          <w:sz w:val="22"/>
          <w:szCs w:val="22"/>
          <w:vertAlign w:val="superscript"/>
        </w:rPr>
        <w:t xml:space="preserve"> </w:t>
      </w:r>
      <w:r w:rsidRPr="00300651">
        <w:rPr>
          <w:sz w:val="22"/>
          <w:szCs w:val="22"/>
        </w:rPr>
        <w:t xml:space="preserve">if for no other reason than the fact that </w:t>
      </w:r>
      <w:r w:rsidRPr="00300651">
        <w:rPr>
          <w:i/>
          <w:sz w:val="22"/>
          <w:szCs w:val="22"/>
        </w:rPr>
        <w:t>Tahoe-Sierra</w:t>
      </w:r>
      <w:r w:rsidRPr="00300651">
        <w:rPr>
          <w:sz w:val="22"/>
          <w:szCs w:val="22"/>
        </w:rPr>
        <w:t xml:space="preserve"> was a </w:t>
      </w:r>
      <w:r w:rsidRPr="00300651">
        <w:rPr>
          <w:i/>
          <w:sz w:val="22"/>
          <w:szCs w:val="22"/>
        </w:rPr>
        <w:t xml:space="preserve">Lucas </w:t>
      </w:r>
      <w:r w:rsidRPr="00300651">
        <w:rPr>
          <w:sz w:val="22"/>
          <w:szCs w:val="22"/>
        </w:rPr>
        <w:t xml:space="preserve">case.  </w:t>
      </w:r>
      <w:r w:rsidRPr="00300651">
        <w:rPr>
          <w:i/>
          <w:sz w:val="22"/>
          <w:szCs w:val="22"/>
        </w:rPr>
        <w:t>Tahoe-Sierra</w:t>
      </w:r>
      <w:r w:rsidRPr="00300651">
        <w:rPr>
          <w:sz w:val="22"/>
          <w:szCs w:val="22"/>
        </w:rPr>
        <w:t xml:space="preserve">, in fact, denied the </w:t>
      </w:r>
      <w:r w:rsidRPr="00300651">
        <w:rPr>
          <w:i/>
          <w:sz w:val="22"/>
          <w:szCs w:val="22"/>
        </w:rPr>
        <w:t xml:space="preserve">Lucas </w:t>
      </w:r>
      <w:r w:rsidRPr="00300651">
        <w:rPr>
          <w:sz w:val="22"/>
          <w:szCs w:val="22"/>
        </w:rPr>
        <w:t xml:space="preserve">taking and concluded that the facts of the case would be “best analyzed within the </w:t>
      </w:r>
      <w:r w:rsidRPr="00300651">
        <w:rPr>
          <w:i/>
          <w:sz w:val="22"/>
          <w:szCs w:val="22"/>
        </w:rPr>
        <w:t>Penn Central</w:t>
      </w:r>
      <w:r w:rsidRPr="00300651">
        <w:rPr>
          <w:sz w:val="22"/>
          <w:szCs w:val="22"/>
        </w:rPr>
        <w:t xml:space="preserve"> framework.”  The decision provided no guidance for undertaking the Penn Central test.  (</w:t>
      </w:r>
      <w:r w:rsidRPr="00300651">
        <w:rPr>
          <w:i/>
          <w:sz w:val="22"/>
          <w:szCs w:val="22"/>
        </w:rPr>
        <w:t>Tahoe-Sierra</w:t>
      </w:r>
      <w:r w:rsidRPr="00300651">
        <w:rPr>
          <w:sz w:val="22"/>
          <w:szCs w:val="22"/>
        </w:rPr>
        <w:t xml:space="preserve"> at 321.</w:t>
      </w:r>
    </w:p>
  </w:footnote>
  <w:footnote w:id="45">
    <w:p w:rsidR="00EC0EBF" w:rsidRDefault="00EC0EBF" w:rsidP="00AB641D">
      <w:pPr>
        <w:autoSpaceDE w:val="0"/>
        <w:autoSpaceDN w:val="0"/>
        <w:adjustRightInd w:val="0"/>
        <w:spacing w:after="120"/>
      </w:pPr>
      <w:r w:rsidRPr="00300651">
        <w:rPr>
          <w:rStyle w:val="FootnoteReference"/>
          <w:sz w:val="22"/>
          <w:szCs w:val="22"/>
        </w:rPr>
        <w:footnoteRef/>
      </w:r>
      <w:r w:rsidRPr="00300651">
        <w:rPr>
          <w:sz w:val="22"/>
          <w:szCs w:val="22"/>
        </w:rPr>
        <w:t xml:space="preserve"> For more discussion on physical relevant parcels, see John E. Fee, “Unearthing the Denominator in Regulatory Takings Claims,” 61 U. Chi. L. R. 1535 (1994) and Steven J. Eagle, “</w:t>
      </w:r>
      <w:r w:rsidRPr="00300651">
        <w:rPr>
          <w:bCs/>
          <w:sz w:val="22"/>
          <w:szCs w:val="22"/>
        </w:rPr>
        <w:t xml:space="preserve">Unresolved Issues in Regulatory Takings and the Protection of Private Property Rights,” Section VII, </w:t>
      </w:r>
      <w:r w:rsidRPr="00300651">
        <w:rPr>
          <w:sz w:val="22"/>
          <w:szCs w:val="22"/>
        </w:rPr>
        <w:t>CLE International Conference on “Regulatory Takings: New thoughts on the State of the Law,” Tampa, Florida, February 23, 2007.</w:t>
      </w:r>
    </w:p>
  </w:footnote>
  <w:footnote w:id="46">
    <w:p w:rsidR="00EC0EBF" w:rsidRDefault="00EC0EBF" w:rsidP="004D6838">
      <w:pPr>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iCs/>
          <w:sz w:val="22"/>
          <w:szCs w:val="22"/>
        </w:rPr>
        <w:t>Id.</w:t>
      </w:r>
      <w:r w:rsidRPr="00300651">
        <w:rPr>
          <w:sz w:val="22"/>
          <w:szCs w:val="22"/>
        </w:rPr>
        <w:t xml:space="preserve"> at 1282.</w:t>
      </w:r>
    </w:p>
  </w:footnote>
  <w:footnote w:id="47">
    <w:p w:rsidR="00EC0EBF" w:rsidRDefault="00EC0EBF" w:rsidP="004D6838">
      <w:pPr>
        <w:pStyle w:val="FootnoteText"/>
      </w:pPr>
      <w:r w:rsidRPr="00300651">
        <w:rPr>
          <w:rStyle w:val="FootnoteReference"/>
          <w:sz w:val="22"/>
          <w:szCs w:val="22"/>
        </w:rPr>
        <w:footnoteRef/>
      </w:r>
      <w:r w:rsidRPr="00300651">
        <w:rPr>
          <w:sz w:val="22"/>
          <w:szCs w:val="22"/>
        </w:rPr>
        <w:t xml:space="preserve"> </w:t>
      </w:r>
      <w:r w:rsidRPr="00300651">
        <w:rPr>
          <w:i/>
          <w:sz w:val="22"/>
          <w:szCs w:val="22"/>
        </w:rPr>
        <w:t>Id</w:t>
      </w:r>
      <w:r w:rsidRPr="00300651">
        <w:rPr>
          <w:sz w:val="22"/>
          <w:szCs w:val="22"/>
        </w:rPr>
        <w:t xml:space="preserve">. (emphasis added to call attention to the </w:t>
      </w:r>
      <w:r w:rsidRPr="00300651">
        <w:rPr>
          <w:i/>
          <w:sz w:val="22"/>
          <w:szCs w:val="22"/>
        </w:rPr>
        <w:t>entire useful life</w:t>
      </w:r>
      <w:r w:rsidRPr="00300651">
        <w:rPr>
          <w:sz w:val="22"/>
          <w:szCs w:val="22"/>
        </w:rPr>
        <w:t xml:space="preserve"> phrase.)</w:t>
      </w:r>
    </w:p>
  </w:footnote>
  <w:footnote w:id="48">
    <w:p w:rsidR="00EC0EBF" w:rsidRDefault="00EC0EBF">
      <w:pPr>
        <w:pStyle w:val="FootnoteText"/>
      </w:pPr>
      <w:r w:rsidRPr="00300651">
        <w:rPr>
          <w:rStyle w:val="FootnoteReference"/>
          <w:sz w:val="22"/>
          <w:szCs w:val="22"/>
        </w:rPr>
        <w:footnoteRef/>
      </w:r>
      <w:r w:rsidRPr="00300651">
        <w:rPr>
          <w:sz w:val="22"/>
          <w:szCs w:val="22"/>
        </w:rPr>
        <w:t xml:space="preserve"> </w:t>
      </w:r>
      <w:r w:rsidRPr="00300651">
        <w:rPr>
          <w:i/>
          <w:sz w:val="22"/>
          <w:szCs w:val="22"/>
        </w:rPr>
        <w:t>Keystone</w:t>
      </w:r>
      <w:r w:rsidRPr="00300651">
        <w:rPr>
          <w:sz w:val="22"/>
          <w:szCs w:val="22"/>
        </w:rPr>
        <w:t xml:space="preserve"> petitioners provided no value associated with the mandated support coal for the mines that initiated the law suit.  The owners did not show deprivation of any economically viable use of that coal.  No lost earnings were at issue in </w:t>
      </w:r>
      <w:r w:rsidRPr="00300651">
        <w:rPr>
          <w:i/>
          <w:sz w:val="22"/>
          <w:szCs w:val="22"/>
        </w:rPr>
        <w:t>Keystone</w:t>
      </w:r>
      <w:r w:rsidRPr="00300651">
        <w:rPr>
          <w:sz w:val="22"/>
          <w:szCs w:val="22"/>
        </w:rPr>
        <w:t xml:space="preserve">.  The support coal had no demonstrable economic value prior to the regulation; the regulation cannot be said to have deprived the mine owners of any economic value. The decision correctly ruled no taking because the stick at issue had no demonstrated economic value, not because of any reduction in the taking fraction. No analysis in the case evaluated a takings fraction to determine if it had any determinative merit.  The value of the </w:t>
      </w:r>
      <w:r w:rsidRPr="00300651">
        <w:rPr>
          <w:i/>
          <w:sz w:val="22"/>
          <w:szCs w:val="22"/>
        </w:rPr>
        <w:t>Cienega IX</w:t>
      </w:r>
      <w:r w:rsidRPr="00300651">
        <w:rPr>
          <w:sz w:val="22"/>
          <w:szCs w:val="22"/>
        </w:rPr>
        <w:t xml:space="preserve"> stick—lost earnings—was not zero and its importance to the integrity of the </w:t>
      </w:r>
      <w:r>
        <w:rPr>
          <w:sz w:val="22"/>
          <w:szCs w:val="22"/>
        </w:rPr>
        <w:t>entire bundle wa</w:t>
      </w:r>
      <w:r w:rsidRPr="00300651">
        <w:rPr>
          <w:sz w:val="22"/>
          <w:szCs w:val="22"/>
        </w:rPr>
        <w:t xml:space="preserve">s paramount. </w:t>
      </w:r>
      <w:r>
        <w:rPr>
          <w:sz w:val="22"/>
          <w:szCs w:val="22"/>
        </w:rPr>
        <w:t xml:space="preserve"> </w:t>
      </w:r>
      <w:r w:rsidRPr="00300651">
        <w:rPr>
          <w:sz w:val="22"/>
          <w:szCs w:val="22"/>
        </w:rPr>
        <w:t xml:space="preserve">The Keystone mine owners possessed full value for their operations before and after the mal-alleged taking.  The petitioner’s lawyers brought this takings case with no economic damages, and with only a gobbelty-gook response to the question about the economic effects of the Subsidence Act on their clients: “An assessment of the actual impact that the Act has on petitioners' operations ‘will involve complex and voluminous proofs,’ which neither party [is] currently in a position to present.”  </w:t>
      </w:r>
      <w:r w:rsidRPr="00300651">
        <w:rPr>
          <w:i/>
          <w:sz w:val="22"/>
          <w:szCs w:val="22"/>
        </w:rPr>
        <w:t>Keystone</w:t>
      </w:r>
      <w:r w:rsidRPr="00300651">
        <w:rPr>
          <w:sz w:val="22"/>
          <w:szCs w:val="22"/>
        </w:rPr>
        <w:t>, 480 U.S. at 493.</w:t>
      </w:r>
    </w:p>
  </w:footnote>
  <w:footnote w:id="49">
    <w:p w:rsidR="00EC0EBF" w:rsidRDefault="00EC0EBF" w:rsidP="00CD2C04">
      <w:pPr>
        <w:pStyle w:val="FootnoteText"/>
      </w:pPr>
      <w:r w:rsidRPr="00300651">
        <w:rPr>
          <w:rStyle w:val="FootnoteReference"/>
          <w:sz w:val="22"/>
          <w:szCs w:val="22"/>
        </w:rPr>
        <w:footnoteRef/>
      </w:r>
      <w:r w:rsidRPr="00300651">
        <w:rPr>
          <w:sz w:val="22"/>
          <w:szCs w:val="22"/>
        </w:rPr>
        <w:t xml:space="preserve">  Brief for Defendant-Applicant in Chancellor Manor v. United States, Fed. Cir. No. 2006-5052, at 46 (June 2, 2006).</w:t>
      </w:r>
    </w:p>
  </w:footnote>
  <w:footnote w:id="50">
    <w:p w:rsidR="00EC0EBF" w:rsidRDefault="00EC0EBF" w:rsidP="000F3928">
      <w:pPr>
        <w:autoSpaceDE w:val="0"/>
        <w:autoSpaceDN w:val="0"/>
        <w:adjustRightInd w:val="0"/>
        <w:snapToGrid w:val="0"/>
        <w:spacing w:after="120"/>
      </w:pPr>
      <w:r w:rsidRPr="00300651">
        <w:rPr>
          <w:rStyle w:val="FootnoteReference"/>
          <w:sz w:val="22"/>
          <w:szCs w:val="22"/>
        </w:rPr>
        <w:footnoteRef/>
      </w:r>
      <w:r w:rsidRPr="00300651">
        <w:rPr>
          <w:sz w:val="22"/>
          <w:szCs w:val="22"/>
        </w:rPr>
        <w:t xml:space="preserve"> The Federal Circuit decided and the Court of Federal Claims cases have consistently restricted measurement of economic data governing the Penn Central test and damages to the period of the temporary takings.  </w:t>
      </w:r>
      <w:r w:rsidRPr="00300651">
        <w:rPr>
          <w:i/>
          <w:color w:val="000000"/>
          <w:sz w:val="22"/>
          <w:szCs w:val="22"/>
        </w:rPr>
        <w:t xml:space="preserve">Wyatt v. United States, </w:t>
      </w:r>
      <w:r w:rsidRPr="00300651">
        <w:rPr>
          <w:color w:val="000000"/>
          <w:sz w:val="22"/>
          <w:szCs w:val="22"/>
        </w:rPr>
        <w:t xml:space="preserve">271 F.3d 1090, 1097 n.6 (Fed. Cir. 2001). “The essential element of a temporary taking is a finite start and end to the taking.” </w:t>
      </w:r>
      <w:r w:rsidRPr="00300651">
        <w:rPr>
          <w:i/>
          <w:color w:val="000000"/>
          <w:sz w:val="22"/>
          <w:szCs w:val="22"/>
        </w:rPr>
        <w:t>See also</w:t>
      </w:r>
      <w:r w:rsidRPr="00300651">
        <w:rPr>
          <w:color w:val="000000"/>
          <w:sz w:val="22"/>
          <w:szCs w:val="22"/>
        </w:rPr>
        <w:t xml:space="preserve"> </w:t>
      </w:r>
      <w:r w:rsidRPr="00300651">
        <w:rPr>
          <w:i/>
          <w:color w:val="000000"/>
          <w:sz w:val="22"/>
          <w:szCs w:val="22"/>
        </w:rPr>
        <w:t>Cienega IX</w:t>
      </w:r>
      <w:r w:rsidRPr="00300651">
        <w:rPr>
          <w:color w:val="000000"/>
          <w:sz w:val="22"/>
          <w:szCs w:val="22"/>
        </w:rPr>
        <w:t xml:space="preserve">, </w:t>
      </w:r>
      <w:r w:rsidRPr="00300651">
        <w:rPr>
          <w:sz w:val="22"/>
          <w:szCs w:val="22"/>
        </w:rPr>
        <w:t>67 Fed. Cl. at 483</w:t>
      </w:r>
      <w:r w:rsidRPr="00300651">
        <w:rPr>
          <w:color w:val="000000"/>
          <w:sz w:val="22"/>
          <w:szCs w:val="22"/>
        </w:rPr>
        <w:t xml:space="preserve"> citing </w:t>
      </w:r>
      <w:r w:rsidRPr="00300651">
        <w:rPr>
          <w:i/>
          <w:color w:val="000000"/>
          <w:sz w:val="22"/>
          <w:szCs w:val="22"/>
        </w:rPr>
        <w:t>Wyatt,</w:t>
      </w:r>
      <w:r w:rsidRPr="00300651">
        <w:rPr>
          <w:color w:val="000000"/>
          <w:sz w:val="22"/>
          <w:szCs w:val="22"/>
        </w:rPr>
        <w:t xml:space="preserve"> The “‘essential element’ of a temporary taking is ‘a finite start and end to the taking.’” </w:t>
      </w:r>
    </w:p>
  </w:footnote>
  <w:footnote w:id="51">
    <w:p w:rsidR="00EC0EBF" w:rsidRDefault="00EC0EBF" w:rsidP="00AA3D5E">
      <w:pPr>
        <w:pStyle w:val="FootnoteText"/>
      </w:pPr>
      <w:r w:rsidRPr="00300651">
        <w:rPr>
          <w:rStyle w:val="FootnoteReference"/>
          <w:sz w:val="22"/>
          <w:szCs w:val="22"/>
        </w:rPr>
        <w:footnoteRef/>
      </w:r>
      <w:r w:rsidRPr="00300651">
        <w:rPr>
          <w:sz w:val="22"/>
          <w:szCs w:val="22"/>
        </w:rPr>
        <w:t xml:space="preserve"> </w:t>
      </w:r>
      <w:r w:rsidRPr="00300651">
        <w:rPr>
          <w:i/>
          <w:sz w:val="22"/>
          <w:szCs w:val="22"/>
        </w:rPr>
        <w:t>See</w:t>
      </w:r>
      <w:r w:rsidRPr="00300651">
        <w:rPr>
          <w:sz w:val="22"/>
          <w:szCs w:val="22"/>
        </w:rPr>
        <w:t xml:space="preserve"> </w:t>
      </w:r>
      <w:r>
        <w:rPr>
          <w:smallCaps/>
          <w:sz w:val="22"/>
          <w:szCs w:val="22"/>
        </w:rPr>
        <w:t>Van H</w:t>
      </w:r>
      <w:r w:rsidRPr="00300651">
        <w:rPr>
          <w:smallCaps/>
          <w:sz w:val="22"/>
          <w:szCs w:val="22"/>
        </w:rPr>
        <w:t>orne, Financial Management and Policy</w:t>
      </w:r>
      <w:r w:rsidRPr="00300651">
        <w:rPr>
          <w:sz w:val="22"/>
          <w:szCs w:val="22"/>
        </w:rPr>
        <w:t>, ch. 20 (12</w:t>
      </w:r>
      <w:r w:rsidRPr="00300651">
        <w:rPr>
          <w:sz w:val="22"/>
          <w:szCs w:val="22"/>
          <w:vertAlign w:val="superscript"/>
        </w:rPr>
        <w:t>th</w:t>
      </w:r>
      <w:r w:rsidRPr="00300651">
        <w:rPr>
          <w:sz w:val="22"/>
          <w:szCs w:val="22"/>
        </w:rPr>
        <w:t xml:space="preserve"> ed. 2004); </w:t>
      </w:r>
      <w:r w:rsidRPr="00300651">
        <w:rPr>
          <w:smallCaps/>
          <w:sz w:val="22"/>
          <w:szCs w:val="22"/>
        </w:rPr>
        <w:t xml:space="preserve">Appraisal Institute, The Appraisal of Real Estate, </w:t>
      </w:r>
      <w:r w:rsidRPr="00300651">
        <w:rPr>
          <w:sz w:val="22"/>
          <w:szCs w:val="22"/>
        </w:rPr>
        <w:t>ch. 20 (12</w:t>
      </w:r>
      <w:r w:rsidRPr="00300651">
        <w:rPr>
          <w:sz w:val="22"/>
          <w:szCs w:val="22"/>
          <w:vertAlign w:val="superscript"/>
        </w:rPr>
        <w:t>th</w:t>
      </w:r>
      <w:r w:rsidRPr="00300651">
        <w:rPr>
          <w:sz w:val="22"/>
          <w:szCs w:val="22"/>
        </w:rPr>
        <w:t xml:space="preserve"> ed. 2001); </w:t>
      </w:r>
      <w:r w:rsidRPr="00300651">
        <w:rPr>
          <w:smallCaps/>
          <w:sz w:val="22"/>
          <w:szCs w:val="22"/>
        </w:rPr>
        <w:t xml:space="preserve">Shannon Pratt, Robert Reilly, &amp; Robert Schweihs, Valuing a Business, </w:t>
      </w:r>
      <w:r w:rsidRPr="00300651">
        <w:rPr>
          <w:sz w:val="22"/>
          <w:szCs w:val="22"/>
        </w:rPr>
        <w:t>ch. 9 (4</w:t>
      </w:r>
      <w:r w:rsidRPr="00300651">
        <w:rPr>
          <w:sz w:val="22"/>
          <w:szCs w:val="22"/>
          <w:vertAlign w:val="superscript"/>
        </w:rPr>
        <w:t>th</w:t>
      </w:r>
      <w:r w:rsidRPr="00300651">
        <w:rPr>
          <w:sz w:val="22"/>
          <w:szCs w:val="22"/>
        </w:rPr>
        <w:t xml:space="preserve"> ed. 2000).</w:t>
      </w:r>
    </w:p>
  </w:footnote>
  <w:footnote w:id="52">
    <w:p w:rsidR="00EC0EBF" w:rsidRDefault="00EC0EBF" w:rsidP="00AA3D5E">
      <w:pPr>
        <w:pStyle w:val="FootnoteText"/>
      </w:pPr>
      <w:r w:rsidRPr="00300651">
        <w:rPr>
          <w:rStyle w:val="FootnoteReference"/>
          <w:sz w:val="22"/>
          <w:szCs w:val="22"/>
        </w:rPr>
        <w:footnoteRef/>
      </w:r>
      <w:r w:rsidRPr="00300651">
        <w:rPr>
          <w:sz w:val="22"/>
          <w:szCs w:val="22"/>
        </w:rPr>
        <w:t xml:space="preserve"> </w:t>
      </w:r>
      <w:r w:rsidRPr="00300651">
        <w:rPr>
          <w:color w:val="231F20"/>
          <w:sz w:val="22"/>
          <w:szCs w:val="22"/>
        </w:rPr>
        <w:t xml:space="preserve">Two Supreme Court cases confirm what economists and financial analysts consider bedrock: lost earnings are what matter when an income-producing business operation is interrupted. Justice Stanley Foreman Reed contrasted returns with the change in market value in the 1951 </w:t>
      </w:r>
      <w:r w:rsidRPr="00300651">
        <w:rPr>
          <w:i/>
          <w:iCs/>
          <w:color w:val="231F20"/>
          <w:sz w:val="22"/>
          <w:szCs w:val="22"/>
        </w:rPr>
        <w:t>United States v. Pewee Coal</w:t>
      </w:r>
      <w:r w:rsidRPr="00300651">
        <w:rPr>
          <w:i/>
          <w:color w:val="231F20"/>
          <w:sz w:val="22"/>
          <w:szCs w:val="22"/>
        </w:rPr>
        <w:t xml:space="preserve"> </w:t>
      </w:r>
      <w:r w:rsidRPr="00300651">
        <w:rPr>
          <w:color w:val="231F20"/>
          <w:sz w:val="22"/>
          <w:szCs w:val="22"/>
        </w:rPr>
        <w:t xml:space="preserve">case: “Market value, despite its difficulties, provides a fairly acceptable test for just compensation </w:t>
      </w:r>
      <w:r w:rsidRPr="00300651">
        <w:rPr>
          <w:i/>
          <w:iCs/>
          <w:color w:val="231F20"/>
          <w:sz w:val="22"/>
          <w:szCs w:val="22"/>
        </w:rPr>
        <w:t xml:space="preserve">when the property is taken absolutely.  </w:t>
      </w:r>
      <w:r w:rsidRPr="00300651">
        <w:rPr>
          <w:color w:val="231F20"/>
          <w:sz w:val="22"/>
          <w:szCs w:val="22"/>
        </w:rPr>
        <w:t xml:space="preserve">But in the temporary taking of operating properties, market value is too uncertain a measure to have any practical significance.” 341 U.S. 114 , 119-121 (1951) (Reed, J., concurring).  </w:t>
      </w:r>
      <w:r w:rsidRPr="00300651">
        <w:rPr>
          <w:i/>
          <w:iCs/>
          <w:color w:val="231F20"/>
          <w:sz w:val="22"/>
          <w:szCs w:val="22"/>
        </w:rPr>
        <w:t xml:space="preserve">Kimball Laundry </w:t>
      </w:r>
      <w:r w:rsidRPr="00300651">
        <w:rPr>
          <w:color w:val="231F20"/>
          <w:sz w:val="22"/>
          <w:szCs w:val="22"/>
        </w:rPr>
        <w:t>reached the same conclusion: “[I]f the difference between the market value of the fee on the date of taking and that on the date of return were taken to be the measure, there might frequently be situations in which the owner would receive no compensation whatever because the market value of the property had not decreased during the period of the taker’s occupancy.” (</w:t>
      </w:r>
      <w:r w:rsidRPr="00300651">
        <w:rPr>
          <w:i/>
          <w:color w:val="231F20"/>
          <w:sz w:val="22"/>
          <w:szCs w:val="22"/>
        </w:rPr>
        <w:t xml:space="preserve">Kimball Laundry v. United States, </w:t>
      </w:r>
      <w:r w:rsidRPr="00300651">
        <w:rPr>
          <w:color w:val="231F20"/>
          <w:sz w:val="22"/>
          <w:szCs w:val="22"/>
        </w:rPr>
        <w:t xml:space="preserve">338 U. S. 1, 7 (1949)).  </w:t>
      </w:r>
      <w:r w:rsidRPr="00300651">
        <w:rPr>
          <w:i/>
          <w:color w:val="231F20"/>
          <w:sz w:val="22"/>
          <w:szCs w:val="22"/>
        </w:rPr>
        <w:t>Cienega X</w:t>
      </w:r>
      <w:r w:rsidRPr="00300651">
        <w:rPr>
          <w:color w:val="231F20"/>
          <w:sz w:val="22"/>
          <w:szCs w:val="22"/>
        </w:rPr>
        <w:t xml:space="preserve"> errs when it disallowed the application of </w:t>
      </w:r>
      <w:r w:rsidRPr="00300651">
        <w:rPr>
          <w:i/>
          <w:color w:val="231F20"/>
          <w:sz w:val="22"/>
          <w:szCs w:val="22"/>
        </w:rPr>
        <w:t xml:space="preserve">Kimballl Laundry’s </w:t>
      </w:r>
      <w:r w:rsidRPr="00300651">
        <w:rPr>
          <w:color w:val="231F20"/>
          <w:sz w:val="22"/>
          <w:szCs w:val="22"/>
        </w:rPr>
        <w:t xml:space="preserve">use of return on equity for damages to the liability element of the Penn Central test.  The professional economist must use the correct tool in his testimony to meet </w:t>
      </w:r>
      <w:r w:rsidRPr="00300651">
        <w:rPr>
          <w:i/>
          <w:color w:val="231F20"/>
          <w:sz w:val="22"/>
          <w:szCs w:val="22"/>
        </w:rPr>
        <w:t>Daubert</w:t>
      </w:r>
      <w:r w:rsidRPr="00300651">
        <w:rPr>
          <w:color w:val="231F20"/>
          <w:sz w:val="22"/>
          <w:szCs w:val="22"/>
        </w:rPr>
        <w:t xml:space="preserve"> standards. Return on equity is the right tool to measure effect of loss of income on investment-backed expectations.</w:t>
      </w:r>
    </w:p>
  </w:footnote>
  <w:footnote w:id="53">
    <w:p w:rsidR="00EC0EBF" w:rsidRDefault="00EC0EBF" w:rsidP="00AA3D5E">
      <w:pPr>
        <w:pStyle w:val="FootnoteText"/>
      </w:pPr>
      <w:r w:rsidRPr="00300651">
        <w:rPr>
          <w:rStyle w:val="FootnoteReference"/>
          <w:sz w:val="22"/>
          <w:szCs w:val="22"/>
        </w:rPr>
        <w:footnoteRef/>
      </w:r>
      <w:r w:rsidRPr="00300651">
        <w:rPr>
          <w:sz w:val="22"/>
          <w:szCs w:val="22"/>
        </w:rPr>
        <w:t xml:space="preserve"> </w:t>
      </w:r>
      <w:r w:rsidRPr="00300651">
        <w:rPr>
          <w:i/>
          <w:sz w:val="22"/>
          <w:szCs w:val="22"/>
        </w:rPr>
        <w:t>Cienega X</w:t>
      </w:r>
      <w:r w:rsidRPr="00300651">
        <w:rPr>
          <w:sz w:val="22"/>
          <w:szCs w:val="22"/>
        </w:rPr>
        <w:t>, 503 F.3d at 1291-1292 (Newman, J., dissenting).</w:t>
      </w:r>
    </w:p>
  </w:footnote>
  <w:footnote w:id="54">
    <w:p w:rsidR="00EC0EBF" w:rsidRDefault="00EC0EBF" w:rsidP="00AA3D5E">
      <w:pPr>
        <w:pStyle w:val="NormalWeb"/>
        <w:spacing w:before="0" w:beforeAutospacing="0" w:after="120" w:afterAutospacing="0"/>
      </w:pPr>
      <w:r w:rsidRPr="00300651">
        <w:rPr>
          <w:rStyle w:val="FootnoteReference"/>
          <w:sz w:val="22"/>
          <w:szCs w:val="22"/>
        </w:rPr>
        <w:footnoteRef/>
      </w:r>
      <w:r w:rsidRPr="00300651">
        <w:rPr>
          <w:sz w:val="22"/>
          <w:szCs w:val="22"/>
        </w:rPr>
        <w:t xml:space="preserve"> </w:t>
      </w:r>
      <w:r w:rsidRPr="00300651">
        <w:rPr>
          <w:i/>
          <w:sz w:val="22"/>
          <w:szCs w:val="22"/>
        </w:rPr>
        <w:t>Id</w:t>
      </w:r>
      <w:r w:rsidRPr="00300651">
        <w:rPr>
          <w:sz w:val="22"/>
          <w:szCs w:val="22"/>
        </w:rPr>
        <w:t xml:space="preserve"> at 1295 (Newman, J., dissenting). </w:t>
      </w:r>
      <w:r>
        <w:rPr>
          <w:sz w:val="22"/>
          <w:szCs w:val="22"/>
        </w:rPr>
        <w:t xml:space="preserve"> </w:t>
      </w:r>
      <w:r w:rsidRPr="00300651">
        <w:rPr>
          <w:sz w:val="22"/>
          <w:szCs w:val="22"/>
        </w:rPr>
        <w:t xml:space="preserve">(Judge Pauline Newman served as an adjunct professor of law at George Mason at the time, teaching Legal and Economic Theory of Intellectual Property. She received a B.A. from Vassar College in 1947, an M.A. from Columbia University in 1948, a Ph.D. from Yale University in 1952, and an LL.B. from New York University School of Law in 1958. Chances are good that she knows some economics and finance.) </w:t>
      </w:r>
    </w:p>
  </w:footnote>
  <w:footnote w:id="55">
    <w:p w:rsidR="00EC0EBF" w:rsidRDefault="00EC0EBF" w:rsidP="00D06DB3">
      <w:pPr>
        <w:spacing w:after="120"/>
      </w:pPr>
      <w:r w:rsidRPr="00300651">
        <w:rPr>
          <w:rStyle w:val="FootnoteReference"/>
          <w:sz w:val="22"/>
          <w:szCs w:val="22"/>
        </w:rPr>
        <w:footnoteRef/>
      </w:r>
      <w:r w:rsidRPr="00300651">
        <w:rPr>
          <w:sz w:val="22"/>
          <w:szCs w:val="22"/>
        </w:rPr>
        <w:t xml:space="preserve">  This section draws on </w:t>
      </w:r>
      <w:r>
        <w:rPr>
          <w:sz w:val="22"/>
          <w:szCs w:val="22"/>
        </w:rPr>
        <w:t xml:space="preserve">the author’s </w:t>
      </w:r>
      <w:r w:rsidRPr="00300651">
        <w:rPr>
          <w:sz w:val="22"/>
          <w:szCs w:val="22"/>
        </w:rPr>
        <w:t xml:space="preserve">“Federal Circuit’s Economic Failings Undo the </w:t>
      </w:r>
      <w:r w:rsidRPr="00300651">
        <w:rPr>
          <w:i/>
          <w:sz w:val="22"/>
          <w:szCs w:val="22"/>
        </w:rPr>
        <w:t>Penn Central</w:t>
      </w:r>
      <w:r w:rsidRPr="00300651">
        <w:rPr>
          <w:sz w:val="22"/>
          <w:szCs w:val="22"/>
        </w:rPr>
        <w:t xml:space="preserve"> Test,” 40 </w:t>
      </w:r>
      <w:r w:rsidRPr="00300651">
        <w:rPr>
          <w:sz w:val="22"/>
          <w:szCs w:val="22"/>
          <w:u w:val="single"/>
        </w:rPr>
        <w:t>Environmental Law Reporter</w:t>
      </w:r>
      <w:r w:rsidRPr="00300651">
        <w:rPr>
          <w:sz w:val="22"/>
          <w:szCs w:val="22"/>
        </w:rPr>
        <w:t xml:space="preserve"> 10914, September 2010</w:t>
      </w:r>
      <w:r>
        <w:rPr>
          <w:sz w:val="22"/>
          <w:szCs w:val="22"/>
        </w:rPr>
        <w:t>;</w:t>
      </w:r>
      <w:r w:rsidRPr="00300651">
        <w:rPr>
          <w:sz w:val="22"/>
          <w:szCs w:val="22"/>
        </w:rPr>
        <w:t xml:space="preserve"> and “</w:t>
      </w:r>
      <w:r w:rsidRPr="00300651">
        <w:rPr>
          <w:i/>
          <w:iCs/>
          <w:sz w:val="22"/>
          <w:szCs w:val="22"/>
        </w:rPr>
        <w:t xml:space="preserve">Penn Central’s </w:t>
      </w:r>
      <w:r w:rsidRPr="00300651">
        <w:rPr>
          <w:sz w:val="22"/>
          <w:szCs w:val="22"/>
        </w:rPr>
        <w:t xml:space="preserve">Ad Hocery Yields Inconsistent Takings Decisions,” </w:t>
      </w:r>
      <w:r w:rsidRPr="00300651">
        <w:rPr>
          <w:szCs w:val="24"/>
        </w:rPr>
        <w:t xml:space="preserve">42 </w:t>
      </w:r>
      <w:r w:rsidRPr="00975E00">
        <w:rPr>
          <w:szCs w:val="24"/>
          <w:u w:val="single"/>
        </w:rPr>
        <w:t>The Urban Lawyer</w:t>
      </w:r>
      <w:r w:rsidRPr="00300651">
        <w:rPr>
          <w:szCs w:val="24"/>
        </w:rPr>
        <w:t xml:space="preserve"> 549, summer 2010.  </w:t>
      </w:r>
    </w:p>
  </w:footnote>
  <w:footnote w:id="56">
    <w:p w:rsidR="00EC0EBF" w:rsidRDefault="00EC0EBF">
      <w:pPr>
        <w:pStyle w:val="FootnoteText"/>
      </w:pPr>
      <w:r w:rsidRPr="00300651">
        <w:rPr>
          <w:rStyle w:val="FootnoteReference"/>
          <w:sz w:val="22"/>
          <w:szCs w:val="22"/>
        </w:rPr>
        <w:footnoteRef/>
      </w:r>
      <w:r w:rsidRPr="00300651">
        <w:rPr>
          <w:sz w:val="22"/>
          <w:szCs w:val="22"/>
        </w:rPr>
        <w:t xml:space="preserve"> The standard for whether a compensable taking has “occurred is a question of law . . . based on factual determinations.”  (</w:t>
      </w:r>
      <w:r w:rsidRPr="00300651">
        <w:rPr>
          <w:i/>
          <w:sz w:val="22"/>
          <w:szCs w:val="22"/>
        </w:rPr>
        <w:t>Bass Enters. Prod. Co. v. Unites</w:t>
      </w:r>
      <w:r w:rsidRPr="00300651">
        <w:rPr>
          <w:sz w:val="22"/>
          <w:szCs w:val="22"/>
        </w:rPr>
        <w:t xml:space="preserve"> </w:t>
      </w:r>
      <w:r w:rsidRPr="00300651">
        <w:rPr>
          <w:i/>
          <w:sz w:val="22"/>
          <w:szCs w:val="22"/>
        </w:rPr>
        <w:t xml:space="preserve">States, </w:t>
      </w:r>
      <w:r w:rsidRPr="00300651">
        <w:rPr>
          <w:sz w:val="22"/>
          <w:szCs w:val="22"/>
        </w:rPr>
        <w:t>381 F.3d 1360, 1365 (Fed. Cr. 2004)).  Empirical analysis reliant on standard economic methods govern</w:t>
      </w:r>
      <w:r>
        <w:rPr>
          <w:sz w:val="22"/>
          <w:szCs w:val="22"/>
        </w:rPr>
        <w:t>s</w:t>
      </w:r>
      <w:r w:rsidRPr="00300651">
        <w:rPr>
          <w:sz w:val="22"/>
          <w:szCs w:val="22"/>
        </w:rPr>
        <w:t xml:space="preserve"> the interpretation of the law.  Interpretations of the law should not govern the applied analysis.</w:t>
      </w:r>
      <w:r>
        <w:rPr>
          <w:sz w:val="22"/>
          <w:szCs w:val="22"/>
        </w:rPr>
        <w:t xml:space="preserve">  Experts are subject to </w:t>
      </w:r>
      <w:r w:rsidRPr="005F1AB4">
        <w:rPr>
          <w:i/>
          <w:sz w:val="22"/>
          <w:szCs w:val="22"/>
        </w:rPr>
        <w:t xml:space="preserve">Daubert </w:t>
      </w:r>
      <w:r>
        <w:rPr>
          <w:sz w:val="22"/>
          <w:szCs w:val="22"/>
        </w:rPr>
        <w:t>standards.</w:t>
      </w:r>
      <w:r w:rsidRPr="00300651">
        <w:rPr>
          <w:sz w:val="22"/>
          <w:szCs w:val="22"/>
        </w:rPr>
        <w:t xml:space="preserve">  (The discussion of </w:t>
      </w:r>
      <w:r w:rsidRPr="00300651">
        <w:rPr>
          <w:i/>
          <w:sz w:val="22"/>
          <w:szCs w:val="22"/>
        </w:rPr>
        <w:t>Rose Acre Farms</w:t>
      </w:r>
      <w:r w:rsidRPr="00300651">
        <w:rPr>
          <w:sz w:val="22"/>
          <w:szCs w:val="22"/>
        </w:rPr>
        <w:t xml:space="preserve"> below is a prime example of shoehorning confused legal theories into economic methods.)</w:t>
      </w:r>
    </w:p>
  </w:footnote>
  <w:footnote w:id="57">
    <w:p w:rsidR="00EC0EBF" w:rsidRDefault="00EC0EBF" w:rsidP="006A1BBF">
      <w:pPr>
        <w:pStyle w:val="FootnoteText"/>
      </w:pPr>
      <w:r w:rsidRPr="00300651">
        <w:rPr>
          <w:rStyle w:val="FootnoteReference"/>
          <w:sz w:val="22"/>
          <w:szCs w:val="22"/>
        </w:rPr>
        <w:footnoteRef/>
      </w:r>
      <w:r w:rsidRPr="00300651">
        <w:rPr>
          <w:sz w:val="22"/>
          <w:szCs w:val="22"/>
        </w:rPr>
        <w:t xml:space="preserve"> 559 F.3d 1260 (Fed. Cir. 2009), </w:t>
      </w:r>
      <w:r w:rsidRPr="00300651">
        <w:rPr>
          <w:i/>
          <w:sz w:val="22"/>
          <w:szCs w:val="22"/>
        </w:rPr>
        <w:t>cert. denied</w:t>
      </w:r>
      <w:r w:rsidRPr="00300651">
        <w:rPr>
          <w:sz w:val="22"/>
          <w:szCs w:val="22"/>
        </w:rPr>
        <w:t xml:space="preserve">, </w:t>
      </w:r>
      <w:r w:rsidRPr="00300651">
        <w:rPr>
          <w:color w:val="000000"/>
          <w:sz w:val="22"/>
          <w:szCs w:val="22"/>
        </w:rPr>
        <w:t>130 S. Ct. 1501 (2010)</w:t>
      </w:r>
      <w:r w:rsidRPr="00300651">
        <w:rPr>
          <w:sz w:val="22"/>
          <w:szCs w:val="22"/>
        </w:rPr>
        <w:t>.</w:t>
      </w:r>
    </w:p>
  </w:footnote>
  <w:footnote w:id="58">
    <w:p w:rsidR="00EC0EBF" w:rsidRDefault="00EC0EBF" w:rsidP="00D94B88">
      <w:pPr>
        <w:pStyle w:val="FootnoteText"/>
      </w:pPr>
      <w:r w:rsidRPr="00300651">
        <w:rPr>
          <w:rStyle w:val="FootnoteReference"/>
          <w:sz w:val="22"/>
          <w:szCs w:val="22"/>
        </w:rPr>
        <w:footnoteRef/>
      </w:r>
      <w:r w:rsidRPr="00300651">
        <w:rPr>
          <w:sz w:val="22"/>
          <w:szCs w:val="22"/>
        </w:rPr>
        <w:t xml:space="preserve"> 91 Fed. Cl. 580 (2010).</w:t>
      </w:r>
    </w:p>
  </w:footnote>
  <w:footnote w:id="59">
    <w:p w:rsidR="00EC0EBF" w:rsidRDefault="00EC0EBF" w:rsidP="00D94B88">
      <w:pPr>
        <w:pStyle w:val="FootnoteText"/>
      </w:pPr>
      <w:r w:rsidRPr="00300651">
        <w:rPr>
          <w:rStyle w:val="FootnoteReference"/>
          <w:sz w:val="22"/>
          <w:szCs w:val="22"/>
        </w:rPr>
        <w:footnoteRef/>
      </w:r>
      <w:r w:rsidRPr="00300651">
        <w:rPr>
          <w:sz w:val="22"/>
          <w:szCs w:val="22"/>
        </w:rPr>
        <w:t xml:space="preserve"> 284 Fed. Appx. 810, 811 (Fed. Cir. 2008).</w:t>
      </w:r>
    </w:p>
  </w:footnote>
  <w:footnote w:id="60">
    <w:p w:rsidR="00EC0EBF" w:rsidRDefault="00EC0EBF">
      <w:pPr>
        <w:pStyle w:val="FootnoteText"/>
      </w:pPr>
      <w:r w:rsidRPr="00300651">
        <w:rPr>
          <w:rStyle w:val="FootnoteReference"/>
          <w:sz w:val="22"/>
          <w:szCs w:val="22"/>
        </w:rPr>
        <w:footnoteRef/>
      </w:r>
      <w:r w:rsidRPr="00300651">
        <w:rPr>
          <w:sz w:val="22"/>
          <w:szCs w:val="22"/>
        </w:rPr>
        <w:t xml:space="preserve"> For </w:t>
      </w:r>
      <w:r w:rsidRPr="00300651">
        <w:rPr>
          <w:i/>
          <w:sz w:val="22"/>
          <w:szCs w:val="22"/>
        </w:rPr>
        <w:t>Rose Acre Farms VI</w:t>
      </w:r>
      <w:r w:rsidRPr="00300651">
        <w:rPr>
          <w:sz w:val="22"/>
          <w:szCs w:val="22"/>
        </w:rPr>
        <w:t xml:space="preserve">; i.e., no competent value of the real farm property is in the record. </w:t>
      </w:r>
    </w:p>
  </w:footnote>
  <w:footnote w:id="61">
    <w:p w:rsidR="00EC0EBF" w:rsidRDefault="00EC0EBF" w:rsidP="006A1BBF">
      <w:pPr>
        <w:pStyle w:val="FootnoteText"/>
      </w:pPr>
      <w:r w:rsidRPr="00300651">
        <w:rPr>
          <w:rStyle w:val="FootnoteReference"/>
          <w:sz w:val="22"/>
          <w:szCs w:val="22"/>
        </w:rPr>
        <w:footnoteRef/>
      </w:r>
      <w:r w:rsidRPr="00300651">
        <w:rPr>
          <w:sz w:val="22"/>
          <w:szCs w:val="22"/>
        </w:rPr>
        <w:t xml:space="preserve"> </w:t>
      </w:r>
      <w:r w:rsidRPr="00300651">
        <w:rPr>
          <w:i/>
          <w:sz w:val="22"/>
          <w:szCs w:val="22"/>
        </w:rPr>
        <w:t>Rose Acre VI</w:t>
      </w:r>
      <w:r w:rsidRPr="00300651">
        <w:rPr>
          <w:sz w:val="22"/>
          <w:szCs w:val="22"/>
        </w:rPr>
        <w:t xml:space="preserve"> 559 F.3d at 1268.</w:t>
      </w:r>
    </w:p>
  </w:footnote>
  <w:footnote w:id="62">
    <w:p w:rsidR="00EC0EBF" w:rsidRDefault="00EC0EBF" w:rsidP="00005E59">
      <w:pPr>
        <w:autoSpaceDE w:val="0"/>
        <w:autoSpaceDN w:val="0"/>
        <w:adjustRightInd w:val="0"/>
        <w:spacing w:after="120"/>
      </w:pPr>
      <w:r w:rsidRPr="00300651">
        <w:rPr>
          <w:rStyle w:val="FootnoteReference"/>
          <w:sz w:val="22"/>
          <w:szCs w:val="22"/>
        </w:rPr>
        <w:footnoteRef/>
      </w:r>
      <w:r w:rsidRPr="00300651">
        <w:rPr>
          <w:sz w:val="22"/>
          <w:szCs w:val="22"/>
        </w:rPr>
        <w:t xml:space="preserve"> Corrected Brief for Defendant-Appellant at 40-41, </w:t>
      </w:r>
      <w:r w:rsidRPr="00300651">
        <w:rPr>
          <w:i/>
          <w:sz w:val="22"/>
          <w:szCs w:val="22"/>
        </w:rPr>
        <w:t>Rose Acre Farms v. United States</w:t>
      </w:r>
      <w:r w:rsidRPr="00300651">
        <w:rPr>
          <w:sz w:val="22"/>
          <w:szCs w:val="22"/>
        </w:rPr>
        <w:t>, 559 F.3d 1260 (Fed.</w:t>
      </w:r>
      <w:r>
        <w:rPr>
          <w:sz w:val="22"/>
          <w:szCs w:val="22"/>
        </w:rPr>
        <w:t xml:space="preserve"> Cir. 2009) (No. 2007-5169).  (E</w:t>
      </w:r>
      <w:r w:rsidRPr="00300651">
        <w:rPr>
          <w:sz w:val="22"/>
          <w:szCs w:val="22"/>
        </w:rPr>
        <w:t>mphasis added.)</w:t>
      </w:r>
    </w:p>
  </w:footnote>
  <w:footnote w:id="63">
    <w:p w:rsidR="00EC0EBF" w:rsidRDefault="00EC0EBF" w:rsidP="002D6E8E">
      <w:pPr>
        <w:pStyle w:val="FootnoteText"/>
      </w:pPr>
      <w:r w:rsidRPr="00300651">
        <w:rPr>
          <w:rStyle w:val="FootnoteReference"/>
          <w:sz w:val="22"/>
          <w:szCs w:val="22"/>
        </w:rPr>
        <w:footnoteRef/>
      </w:r>
      <w:r w:rsidRPr="00300651">
        <w:rPr>
          <w:sz w:val="22"/>
          <w:szCs w:val="22"/>
        </w:rPr>
        <w:t xml:space="preserve"> </w:t>
      </w:r>
      <w:r w:rsidRPr="00300651">
        <w:rPr>
          <w:i/>
          <w:iCs/>
          <w:sz w:val="22"/>
          <w:szCs w:val="22"/>
        </w:rPr>
        <w:t>Rose Acre VI</w:t>
      </w:r>
      <w:r w:rsidRPr="00300651">
        <w:rPr>
          <w:sz w:val="22"/>
          <w:szCs w:val="22"/>
        </w:rPr>
        <w:t>, 559 F.3d at 1282–84.</w:t>
      </w:r>
    </w:p>
  </w:footnote>
  <w:footnote w:id="64">
    <w:p w:rsidR="00EC0EBF" w:rsidRDefault="00EC0EBF">
      <w:pPr>
        <w:pStyle w:val="FootnoteText"/>
      </w:pPr>
      <w:r w:rsidRPr="00300651">
        <w:rPr>
          <w:rStyle w:val="FootnoteReference"/>
          <w:sz w:val="22"/>
          <w:szCs w:val="22"/>
        </w:rPr>
        <w:footnoteRef/>
      </w:r>
      <w:r w:rsidRPr="00300651">
        <w:rPr>
          <w:sz w:val="22"/>
          <w:szCs w:val="22"/>
        </w:rPr>
        <w:t xml:space="preserve"> </w:t>
      </w:r>
      <w:r w:rsidRPr="00300651">
        <w:rPr>
          <w:i/>
          <w:sz w:val="22"/>
          <w:szCs w:val="22"/>
        </w:rPr>
        <w:t>Rose Acre VI</w:t>
      </w:r>
      <w:r w:rsidRPr="00300651">
        <w:rPr>
          <w:sz w:val="22"/>
          <w:szCs w:val="22"/>
        </w:rPr>
        <w:t>, 559 F.3d at 1274 mentions that Rose Acre owned six other farms, unaffected by the problems at three farms.  Data from these other operations are not in the trial record.</w:t>
      </w:r>
    </w:p>
  </w:footnote>
  <w:footnote w:id="65">
    <w:p w:rsidR="00EC0EBF" w:rsidRDefault="00EC0EBF" w:rsidP="00967F8F">
      <w:pPr>
        <w:pStyle w:val="FootnoteText"/>
      </w:pPr>
      <w:r w:rsidRPr="00300651">
        <w:rPr>
          <w:rStyle w:val="FootnoteReference"/>
          <w:sz w:val="22"/>
          <w:szCs w:val="22"/>
        </w:rPr>
        <w:footnoteRef/>
      </w:r>
      <w:r>
        <w:rPr>
          <w:sz w:val="22"/>
          <w:szCs w:val="22"/>
        </w:rPr>
        <w:t xml:space="preserve"> See fn 52</w:t>
      </w:r>
      <w:r w:rsidRPr="00300651">
        <w:rPr>
          <w:sz w:val="22"/>
          <w:szCs w:val="22"/>
        </w:rPr>
        <w:t>.</w:t>
      </w:r>
    </w:p>
  </w:footnote>
  <w:footnote w:id="66">
    <w:p w:rsidR="00EC0EBF" w:rsidRDefault="00EC0EBF" w:rsidP="00967F8F">
      <w:pPr>
        <w:autoSpaceDE w:val="0"/>
        <w:autoSpaceDN w:val="0"/>
        <w:adjustRightInd w:val="0"/>
        <w:spacing w:after="120"/>
      </w:pPr>
      <w:r w:rsidRPr="00300651">
        <w:rPr>
          <w:rStyle w:val="FootnoteReference"/>
          <w:sz w:val="22"/>
          <w:szCs w:val="22"/>
        </w:rPr>
        <w:footnoteRef/>
      </w:r>
      <w:r w:rsidRPr="00300651">
        <w:rPr>
          <w:sz w:val="22"/>
          <w:szCs w:val="22"/>
        </w:rPr>
        <w:t xml:space="preserve"> </w:t>
      </w:r>
      <w:r w:rsidRPr="00300651">
        <w:rPr>
          <w:i/>
          <w:iCs/>
          <w:sz w:val="22"/>
          <w:szCs w:val="22"/>
        </w:rPr>
        <w:t>CCA Assocs. v. United States</w:t>
      </w:r>
      <w:r w:rsidRPr="00300651">
        <w:rPr>
          <w:i/>
          <w:sz w:val="22"/>
          <w:szCs w:val="22"/>
        </w:rPr>
        <w:t>,</w:t>
      </w:r>
      <w:r w:rsidRPr="00300651">
        <w:rPr>
          <w:sz w:val="22"/>
          <w:szCs w:val="22"/>
        </w:rPr>
        <w:t xml:space="preserve"> 75 Fed. Cl. 170, 200 (2007). </w:t>
      </w:r>
    </w:p>
  </w:footnote>
  <w:footnote w:id="67">
    <w:p w:rsidR="00EC0EBF" w:rsidRDefault="00EC0EBF" w:rsidP="009E1853">
      <w:pPr>
        <w:widowControl/>
        <w:autoSpaceDE w:val="0"/>
        <w:autoSpaceDN w:val="0"/>
        <w:adjustRightInd w:val="0"/>
        <w:snapToGrid w:val="0"/>
        <w:spacing w:after="120"/>
      </w:pPr>
      <w:r w:rsidRPr="00300651">
        <w:rPr>
          <w:rStyle w:val="FootnoteReference"/>
          <w:sz w:val="22"/>
          <w:szCs w:val="22"/>
        </w:rPr>
        <w:footnoteRef/>
      </w:r>
      <w:r w:rsidRPr="00300651">
        <w:rPr>
          <w:sz w:val="22"/>
          <w:szCs w:val="22"/>
        </w:rPr>
        <w:t xml:space="preserve"> </w:t>
      </w:r>
      <w:r w:rsidRPr="00300651">
        <w:rPr>
          <w:i/>
          <w:sz w:val="22"/>
          <w:szCs w:val="22"/>
        </w:rPr>
        <w:t>Id.</w:t>
      </w:r>
      <w:r w:rsidRPr="00300651">
        <w:rPr>
          <w:sz w:val="22"/>
          <w:szCs w:val="22"/>
        </w:rPr>
        <w:t xml:space="preserve"> at 199.  Along the way, Judge Lettow once again chastised the government for its persistent argument against the return on equity method: “</w:t>
      </w:r>
      <w:r w:rsidRPr="00300651">
        <w:rPr>
          <w:color w:val="000000"/>
          <w:sz w:val="22"/>
          <w:szCs w:val="22"/>
        </w:rPr>
        <w:t xml:space="preserve">In resisting the return-on-equity approach and favoring the change-in-value method of economic analysis, the government manifestly errs by suggesting that in </w:t>
      </w:r>
      <w:r w:rsidRPr="00300651">
        <w:rPr>
          <w:i/>
          <w:sz w:val="22"/>
          <w:szCs w:val="22"/>
        </w:rPr>
        <w:t>Cienega VIII</w:t>
      </w:r>
      <w:r w:rsidRPr="00300651">
        <w:rPr>
          <w:sz w:val="22"/>
          <w:szCs w:val="22"/>
        </w:rPr>
        <w:t xml:space="preserve"> the</w:t>
      </w:r>
      <w:r w:rsidRPr="00300651">
        <w:rPr>
          <w:color w:val="000000"/>
          <w:sz w:val="22"/>
          <w:szCs w:val="22"/>
        </w:rPr>
        <w:t xml:space="preserve"> Federal Circuit broke new ground in Fifth Amendment Takings Clause jurisprudence. Def.'s Reply at 28 (citing </w:t>
      </w:r>
      <w:r w:rsidRPr="00300651">
        <w:rPr>
          <w:i/>
          <w:sz w:val="22"/>
          <w:szCs w:val="22"/>
        </w:rPr>
        <w:t>Cienega VIII</w:t>
      </w:r>
      <w:r w:rsidRPr="00300651">
        <w:rPr>
          <w:color w:val="0000FF"/>
          <w:sz w:val="22"/>
          <w:szCs w:val="22"/>
        </w:rPr>
        <w:t xml:space="preserve"> </w:t>
      </w:r>
      <w:r w:rsidRPr="00300651">
        <w:rPr>
          <w:color w:val="000000"/>
          <w:sz w:val="22"/>
          <w:szCs w:val="22"/>
        </w:rPr>
        <w:t xml:space="preserve">as “the first case to ever reference the ‘rate of return’ analysis.”).  The return- on-equity approach was relatively novel at one time-over fifty years ago-but not today.” </w:t>
      </w:r>
      <w:r w:rsidRPr="00300651">
        <w:rPr>
          <w:i/>
          <w:color w:val="000000"/>
          <w:sz w:val="22"/>
          <w:szCs w:val="22"/>
        </w:rPr>
        <w:t>Id.</w:t>
      </w:r>
      <w:r w:rsidRPr="00300651">
        <w:rPr>
          <w:color w:val="000000"/>
          <w:sz w:val="22"/>
          <w:szCs w:val="22"/>
        </w:rPr>
        <w:t xml:space="preserve"> </w:t>
      </w:r>
    </w:p>
  </w:footnote>
  <w:footnote w:id="68">
    <w:p w:rsidR="00EC0EBF" w:rsidRDefault="00EC0EBF" w:rsidP="00374C95">
      <w:pPr>
        <w:widowControl/>
        <w:autoSpaceDE w:val="0"/>
        <w:autoSpaceDN w:val="0"/>
        <w:adjustRightInd w:val="0"/>
        <w:snapToGrid w:val="0"/>
        <w:spacing w:after="120"/>
      </w:pPr>
      <w:r w:rsidRPr="00300651">
        <w:rPr>
          <w:rStyle w:val="FootnoteReference"/>
          <w:sz w:val="22"/>
          <w:szCs w:val="22"/>
        </w:rPr>
        <w:footnoteRef/>
      </w:r>
      <w:r w:rsidRPr="00300651">
        <w:rPr>
          <w:sz w:val="22"/>
          <w:szCs w:val="22"/>
        </w:rPr>
        <w:t xml:space="preserve"> </w:t>
      </w:r>
      <w:r w:rsidRPr="00300651">
        <w:rPr>
          <w:i/>
          <w:iCs/>
          <w:sz w:val="22"/>
          <w:szCs w:val="22"/>
        </w:rPr>
        <w:t>CCA Assocs. v. United States</w:t>
      </w:r>
      <w:r w:rsidRPr="00300651">
        <w:rPr>
          <w:i/>
          <w:sz w:val="22"/>
          <w:szCs w:val="22"/>
        </w:rPr>
        <w:t>,</w:t>
      </w:r>
      <w:r w:rsidRPr="00300651">
        <w:rPr>
          <w:sz w:val="22"/>
          <w:szCs w:val="22"/>
        </w:rPr>
        <w:t xml:space="preserve"> 284 Fed. Appx. 810, 811 (Fed. Cir. 2008). “</w:t>
      </w:r>
      <w:r w:rsidRPr="00300651">
        <w:rPr>
          <w:color w:val="000000"/>
          <w:sz w:val="22"/>
          <w:szCs w:val="22"/>
        </w:rPr>
        <w:t xml:space="preserve">We most recently addressed these issues in </w:t>
      </w:r>
      <w:r w:rsidRPr="00300651">
        <w:rPr>
          <w:i/>
          <w:color w:val="000000"/>
          <w:sz w:val="22"/>
          <w:szCs w:val="22"/>
        </w:rPr>
        <w:t>Cienega Gardens v. United States</w:t>
      </w:r>
      <w:r w:rsidRPr="00300651">
        <w:rPr>
          <w:color w:val="000000"/>
          <w:sz w:val="22"/>
          <w:szCs w:val="22"/>
        </w:rPr>
        <w:t>, 503 F.3d 1266 (Fed. Cir. 2007) (“Cienega X”). That decision, which was issued after the decision of the Court of Federal Claims in this case and the submission of the government’s opening brief, addressed arguments that are in many respects identical to those presented here.”</w:t>
      </w:r>
    </w:p>
  </w:footnote>
  <w:footnote w:id="69">
    <w:p w:rsidR="00EC0EBF" w:rsidRDefault="00EC0EBF" w:rsidP="009E7DE5">
      <w:pPr>
        <w:pStyle w:val="FootnoteText"/>
      </w:pPr>
      <w:r w:rsidRPr="00300651">
        <w:rPr>
          <w:rStyle w:val="FootnoteReference"/>
          <w:sz w:val="22"/>
          <w:szCs w:val="22"/>
        </w:rPr>
        <w:footnoteRef/>
      </w:r>
      <w:r w:rsidRPr="00300651">
        <w:rPr>
          <w:sz w:val="22"/>
          <w:szCs w:val="22"/>
        </w:rPr>
        <w:t xml:space="preserve"> </w:t>
      </w:r>
      <w:r w:rsidRPr="00300651">
        <w:rPr>
          <w:i/>
          <w:sz w:val="22"/>
          <w:szCs w:val="22"/>
        </w:rPr>
        <w:t>CCA Assocs v. United States</w:t>
      </w:r>
      <w:r w:rsidRPr="00300651">
        <w:rPr>
          <w:sz w:val="22"/>
          <w:szCs w:val="22"/>
        </w:rPr>
        <w:t>, 91 Fed. Cl. 580 (2010).  “Plaintiff CCA Associates’ Post-Trial Memorandum,” August 26, 2009, n.15 at 23.  (The lengthy footnote is referred to interested readers.)</w:t>
      </w:r>
    </w:p>
  </w:footnote>
  <w:footnote w:id="70">
    <w:p w:rsidR="00EC0EBF" w:rsidRDefault="00EC0EBF" w:rsidP="009E7DE5">
      <w:pPr>
        <w:pStyle w:val="FootnoteText"/>
      </w:pPr>
      <w:r w:rsidRPr="00300651">
        <w:rPr>
          <w:rStyle w:val="FootnoteReference"/>
          <w:sz w:val="22"/>
          <w:szCs w:val="22"/>
        </w:rPr>
        <w:footnoteRef/>
      </w:r>
      <w:r w:rsidRPr="00300651">
        <w:rPr>
          <w:sz w:val="22"/>
          <w:szCs w:val="22"/>
        </w:rPr>
        <w:t xml:space="preserve"> </w:t>
      </w:r>
      <w:r w:rsidRPr="00300651">
        <w:rPr>
          <w:i/>
          <w:sz w:val="22"/>
          <w:szCs w:val="22"/>
        </w:rPr>
        <w:t>CCA III,</w:t>
      </w:r>
      <w:r w:rsidRPr="00300651">
        <w:rPr>
          <w:sz w:val="22"/>
          <w:szCs w:val="22"/>
        </w:rPr>
        <w:t xml:space="preserve"> 91 Fed. Cl. 580, 618-19 (2010) (internal citations omitted).</w:t>
      </w:r>
    </w:p>
  </w:footnote>
  <w:footnote w:id="71">
    <w:p w:rsidR="00EC0EBF" w:rsidRDefault="00EC0EBF" w:rsidP="00826C06">
      <w:pPr>
        <w:widowControl/>
        <w:autoSpaceDE w:val="0"/>
        <w:autoSpaceDN w:val="0"/>
        <w:adjustRightInd w:val="0"/>
        <w:snapToGrid w:val="0"/>
        <w:spacing w:after="120"/>
      </w:pPr>
      <w:r w:rsidRPr="00300651">
        <w:rPr>
          <w:rStyle w:val="FootnoteReference"/>
          <w:sz w:val="22"/>
          <w:szCs w:val="22"/>
        </w:rPr>
        <w:footnoteRef/>
      </w:r>
      <w:r w:rsidRPr="00300651">
        <w:rPr>
          <w:sz w:val="22"/>
          <w:szCs w:val="22"/>
        </w:rPr>
        <w:t xml:space="preserve"> </w:t>
      </w:r>
      <w:r w:rsidRPr="00300651">
        <w:rPr>
          <w:i/>
          <w:color w:val="000000"/>
          <w:sz w:val="22"/>
          <w:szCs w:val="22"/>
        </w:rPr>
        <w:t>CCA Assocs v United States,</w:t>
      </w:r>
      <w:r w:rsidRPr="00300651">
        <w:rPr>
          <w:color w:val="000000"/>
          <w:sz w:val="22"/>
          <w:szCs w:val="22"/>
        </w:rPr>
        <w:t xml:space="preserve"> U S Court of Appeals for the Federal Circuit, Case #2010-5100, -5101, “Brief of Defendant-Appellant, The United States,” pages 19-20. July 19, 2010.  It is worth noting that a small cadre of DOJ lawyers has</w:t>
      </w:r>
      <w:r>
        <w:rPr>
          <w:color w:val="000000"/>
          <w:sz w:val="22"/>
          <w:szCs w:val="22"/>
        </w:rPr>
        <w:t xml:space="preserve"> honed the</w:t>
      </w:r>
      <w:r w:rsidRPr="00300651">
        <w:rPr>
          <w:color w:val="000000"/>
          <w:sz w:val="22"/>
          <w:szCs w:val="22"/>
        </w:rPr>
        <w:t xml:space="preserve"> change in value arguments over the decade since </w:t>
      </w:r>
      <w:r w:rsidRPr="00300651">
        <w:rPr>
          <w:i/>
          <w:color w:val="000000"/>
          <w:sz w:val="22"/>
          <w:szCs w:val="22"/>
        </w:rPr>
        <w:t>Cienega VIII</w:t>
      </w:r>
      <w:r w:rsidRPr="00300651">
        <w:rPr>
          <w:color w:val="000000"/>
          <w:sz w:val="22"/>
          <w:szCs w:val="22"/>
        </w:rPr>
        <w:t>.  Opposing counsel in the various cases take up these issues anew</w:t>
      </w:r>
      <w:r>
        <w:rPr>
          <w:color w:val="000000"/>
          <w:sz w:val="22"/>
          <w:szCs w:val="22"/>
        </w:rPr>
        <w:t xml:space="preserve"> without benefit of the same continuity</w:t>
      </w:r>
      <w:r w:rsidRPr="00300651">
        <w:rPr>
          <w:color w:val="000000"/>
          <w:sz w:val="22"/>
          <w:szCs w:val="22"/>
        </w:rPr>
        <w:t xml:space="preserve">. </w:t>
      </w:r>
    </w:p>
  </w:footnote>
  <w:footnote w:id="72">
    <w:p w:rsidR="00EC0EBF" w:rsidRPr="00F429C7" w:rsidRDefault="00EC0EBF" w:rsidP="00F429C7">
      <w:pPr>
        <w:pStyle w:val="FootnoteText"/>
        <w:spacing w:after="0"/>
        <w:rPr>
          <w:sz w:val="22"/>
          <w:szCs w:val="22"/>
        </w:rPr>
      </w:pPr>
      <w:r w:rsidRPr="00826C06">
        <w:rPr>
          <w:rStyle w:val="FootnoteReference"/>
          <w:sz w:val="22"/>
          <w:szCs w:val="22"/>
        </w:rPr>
        <w:footnoteRef/>
      </w:r>
      <w:r w:rsidRPr="00826C06">
        <w:rPr>
          <w:sz w:val="22"/>
          <w:szCs w:val="22"/>
        </w:rPr>
        <w:t xml:space="preserve">  </w:t>
      </w:r>
      <w:r w:rsidRPr="00F429C7">
        <w:rPr>
          <w:sz w:val="22"/>
          <w:szCs w:val="22"/>
        </w:rPr>
        <w:t>The government’</w:t>
      </w:r>
      <w:r>
        <w:rPr>
          <w:sz w:val="22"/>
          <w:szCs w:val="22"/>
        </w:rPr>
        <w:t>s December 13, 2010</w:t>
      </w:r>
      <w:r w:rsidRPr="00F429C7">
        <w:rPr>
          <w:sz w:val="22"/>
          <w:szCs w:val="22"/>
        </w:rPr>
        <w:t xml:space="preserve"> reply brief </w:t>
      </w:r>
      <w:r>
        <w:rPr>
          <w:sz w:val="22"/>
          <w:szCs w:val="22"/>
        </w:rPr>
        <w:t>confirms</w:t>
      </w:r>
      <w:r w:rsidRPr="00F429C7">
        <w:rPr>
          <w:sz w:val="22"/>
          <w:szCs w:val="22"/>
        </w:rPr>
        <w:t xml:space="preserve"> that its diminution in value calculation extends beyond the end of the</w:t>
      </w:r>
      <w:r>
        <w:rPr>
          <w:sz w:val="22"/>
          <w:szCs w:val="22"/>
        </w:rPr>
        <w:t xml:space="preserve"> taking period and compares</w:t>
      </w:r>
      <w:r w:rsidRPr="00F429C7">
        <w:rPr>
          <w:sz w:val="22"/>
          <w:szCs w:val="22"/>
        </w:rPr>
        <w:t xml:space="preserve"> incomes with and without the five-year interruption to each other.  “[T]</w:t>
      </w:r>
      <w:r w:rsidRPr="00F429C7">
        <w:rPr>
          <w:color w:val="000000"/>
          <w:spacing w:val="5"/>
          <w:sz w:val="22"/>
          <w:szCs w:val="22"/>
        </w:rPr>
        <w:t>he market value of an income-</w:t>
      </w:r>
      <w:r w:rsidRPr="00F429C7">
        <w:rPr>
          <w:color w:val="000000"/>
          <w:spacing w:val="-1"/>
          <w:sz w:val="22"/>
          <w:szCs w:val="22"/>
        </w:rPr>
        <w:t xml:space="preserve">producing property is determined by the rental income the property is expected to </w:t>
      </w:r>
      <w:r w:rsidRPr="00F429C7">
        <w:rPr>
          <w:color w:val="000000"/>
          <w:spacing w:val="4"/>
          <w:sz w:val="22"/>
          <w:szCs w:val="22"/>
        </w:rPr>
        <w:t xml:space="preserve">generate. </w:t>
      </w:r>
      <w:r>
        <w:rPr>
          <w:color w:val="000000"/>
          <w:spacing w:val="4"/>
          <w:sz w:val="22"/>
          <w:szCs w:val="22"/>
        </w:rPr>
        <w:t xml:space="preserve"> </w:t>
      </w:r>
      <w:r w:rsidRPr="00F429C7">
        <w:rPr>
          <w:color w:val="000000"/>
          <w:spacing w:val="4"/>
          <w:sz w:val="22"/>
          <w:szCs w:val="22"/>
        </w:rPr>
        <w:t xml:space="preserve">The Government's appraiser essentially estimated market rents </w:t>
      </w:r>
      <w:r w:rsidRPr="00F429C7">
        <w:rPr>
          <w:color w:val="000000"/>
          <w:spacing w:val="1"/>
          <w:sz w:val="22"/>
          <w:szCs w:val="22"/>
        </w:rPr>
        <w:t xml:space="preserve">for each year of the alleged taking and subtracted the rents that the property was </w:t>
      </w:r>
      <w:r w:rsidRPr="00F429C7">
        <w:rPr>
          <w:color w:val="000000"/>
          <w:spacing w:val="2"/>
          <w:sz w:val="22"/>
          <w:szCs w:val="22"/>
        </w:rPr>
        <w:t>expected to earn under the HUD program.”</w:t>
      </w:r>
      <w:r>
        <w:rPr>
          <w:color w:val="000000"/>
          <w:spacing w:val="2"/>
          <w:sz w:val="22"/>
          <w:szCs w:val="22"/>
        </w:rPr>
        <w:t xml:space="preserve"> (p. 46.)</w:t>
      </w:r>
      <w:r w:rsidRPr="00F429C7">
        <w:rPr>
          <w:color w:val="000000"/>
          <w:spacing w:val="2"/>
          <w:sz w:val="22"/>
          <w:szCs w:val="22"/>
        </w:rPr>
        <w:t xml:space="preserve"> </w:t>
      </w:r>
      <w:r>
        <w:rPr>
          <w:color w:val="000000"/>
          <w:spacing w:val="2"/>
          <w:sz w:val="22"/>
          <w:szCs w:val="22"/>
        </w:rPr>
        <w:t xml:space="preserve"> </w:t>
      </w:r>
      <w:r w:rsidRPr="00F429C7">
        <w:rPr>
          <w:color w:val="000000"/>
          <w:spacing w:val="2"/>
          <w:sz w:val="22"/>
          <w:szCs w:val="22"/>
        </w:rPr>
        <w:t xml:space="preserve">The </w:t>
      </w:r>
      <w:r w:rsidRPr="00F429C7">
        <w:rPr>
          <w:sz w:val="22"/>
          <w:szCs w:val="22"/>
        </w:rPr>
        <w:t>decision did</w:t>
      </w:r>
      <w:r>
        <w:rPr>
          <w:sz w:val="22"/>
          <w:szCs w:val="22"/>
        </w:rPr>
        <w:t xml:space="preserve"> not benchmark losses to equity as called for by both </w:t>
      </w:r>
      <w:r w:rsidRPr="00F429C7">
        <w:rPr>
          <w:i/>
          <w:sz w:val="22"/>
          <w:szCs w:val="22"/>
        </w:rPr>
        <w:t>Fl. Rock V</w:t>
      </w:r>
      <w:r>
        <w:rPr>
          <w:sz w:val="22"/>
          <w:szCs w:val="22"/>
        </w:rPr>
        <w:t xml:space="preserve"> and </w:t>
      </w:r>
      <w:r w:rsidRPr="00F429C7">
        <w:rPr>
          <w:i/>
          <w:sz w:val="22"/>
          <w:szCs w:val="22"/>
        </w:rPr>
        <w:t>Cienega VIII.</w:t>
      </w:r>
      <w:r w:rsidRPr="00F429C7">
        <w:rPr>
          <w:sz w:val="22"/>
          <w:szCs w:val="22"/>
        </w:rPr>
        <w:t xml:space="preserve"> </w:t>
      </w:r>
      <w:r>
        <w:rPr>
          <w:sz w:val="22"/>
          <w:szCs w:val="22"/>
        </w:rPr>
        <w:t xml:space="preserve"> CCA’s</w:t>
      </w:r>
      <w:r w:rsidRPr="00F429C7">
        <w:rPr>
          <w:sz w:val="22"/>
          <w:szCs w:val="22"/>
        </w:rPr>
        <w:t xml:space="preserve"> equity in the property at the time of the taking, $811,700, is in the record</w:t>
      </w:r>
      <w:r>
        <w:rPr>
          <w:sz w:val="22"/>
          <w:szCs w:val="22"/>
        </w:rPr>
        <w:t xml:space="preserve">. </w:t>
      </w:r>
      <w:r w:rsidRPr="00F429C7">
        <w:rPr>
          <w:sz w:val="22"/>
          <w:szCs w:val="22"/>
        </w:rPr>
        <w:t>(</w:t>
      </w:r>
      <w:r w:rsidRPr="00F429C7">
        <w:rPr>
          <w:i/>
          <w:sz w:val="22"/>
          <w:szCs w:val="22"/>
        </w:rPr>
        <w:t>CCA III,</w:t>
      </w:r>
      <w:r>
        <w:rPr>
          <w:i/>
          <w:sz w:val="22"/>
          <w:szCs w:val="22"/>
        </w:rPr>
        <w:t xml:space="preserve"> </w:t>
      </w:r>
      <w:r w:rsidRPr="00F429C7">
        <w:rPr>
          <w:sz w:val="22"/>
          <w:szCs w:val="22"/>
        </w:rPr>
        <w:t>91 Fed. Cl. at 611 n. 35</w:t>
      </w:r>
      <w:r>
        <w:rPr>
          <w:sz w:val="22"/>
          <w:szCs w:val="22"/>
        </w:rPr>
        <w:t>.</w:t>
      </w:r>
      <w:r w:rsidRPr="00F429C7">
        <w:rPr>
          <w:sz w:val="22"/>
          <w:szCs w:val="22"/>
        </w:rPr>
        <w:t>)</w:t>
      </w:r>
      <w:r>
        <w:rPr>
          <w:sz w:val="22"/>
          <w:szCs w:val="22"/>
        </w:rPr>
        <w:t xml:space="preserve">  </w:t>
      </w:r>
    </w:p>
    <w:p w:rsidR="00EC0EBF" w:rsidRDefault="00EC0EBF" w:rsidP="00F429C7">
      <w:pPr>
        <w:pStyle w:val="FootnoteText"/>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462"/>
    <w:multiLevelType w:val="hybridMultilevel"/>
    <w:tmpl w:val="9F0E6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D2F96"/>
    <w:multiLevelType w:val="hybridMultilevel"/>
    <w:tmpl w:val="88ACCAA6"/>
    <w:lvl w:ilvl="0" w:tplc="64E2BAE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24F7F"/>
    <w:multiLevelType w:val="hybridMultilevel"/>
    <w:tmpl w:val="FA427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43FB9"/>
    <w:multiLevelType w:val="hybridMultilevel"/>
    <w:tmpl w:val="B2E48542"/>
    <w:lvl w:ilvl="0" w:tplc="CDB657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1FD37B8"/>
    <w:multiLevelType w:val="hybridMultilevel"/>
    <w:tmpl w:val="BD18E794"/>
    <w:lvl w:ilvl="0" w:tplc="CDB65766">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DC2DD4"/>
    <w:multiLevelType w:val="singleLevel"/>
    <w:tmpl w:val="88DCF854"/>
    <w:lvl w:ilvl="0">
      <w:start w:val="1"/>
      <w:numFmt w:val="bullet"/>
      <w:lvlText w:val=""/>
      <w:lvlJc w:val="left"/>
      <w:pPr>
        <w:tabs>
          <w:tab w:val="num" w:pos="360"/>
        </w:tabs>
        <w:ind w:left="360" w:hanging="360"/>
      </w:pPr>
      <w:rPr>
        <w:rFonts w:ascii="Symbol" w:hAnsi="Symbol" w:hint="default"/>
      </w:rPr>
    </w:lvl>
  </w:abstractNum>
  <w:abstractNum w:abstractNumId="6">
    <w:nsid w:val="13F55344"/>
    <w:multiLevelType w:val="hybridMultilevel"/>
    <w:tmpl w:val="61F0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B6742A"/>
    <w:multiLevelType w:val="hybridMultilevel"/>
    <w:tmpl w:val="7F1E2D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7B35DCC"/>
    <w:multiLevelType w:val="hybridMultilevel"/>
    <w:tmpl w:val="D87EF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D41BA5"/>
    <w:multiLevelType w:val="hybridMultilevel"/>
    <w:tmpl w:val="9594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64A78"/>
    <w:multiLevelType w:val="hybridMultilevel"/>
    <w:tmpl w:val="352AE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2211E"/>
    <w:multiLevelType w:val="hybridMultilevel"/>
    <w:tmpl w:val="640EDE10"/>
    <w:lvl w:ilvl="0" w:tplc="64E2BAE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62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102BED"/>
    <w:multiLevelType w:val="hybridMultilevel"/>
    <w:tmpl w:val="D5E44DA0"/>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53D5A69"/>
    <w:multiLevelType w:val="hybridMultilevel"/>
    <w:tmpl w:val="8A1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45970"/>
    <w:multiLevelType w:val="hybridMultilevel"/>
    <w:tmpl w:val="DE2275A4"/>
    <w:lvl w:ilvl="0" w:tplc="FFFFFFFF">
      <w:start w:val="1"/>
      <w:numFmt w:val="bullet"/>
      <w:lvlText w:val="•"/>
      <w:lvlJc w:val="left"/>
      <w:pPr>
        <w:tabs>
          <w:tab w:val="num" w:pos="720"/>
        </w:tabs>
        <w:ind w:left="720" w:hanging="360"/>
      </w:pPr>
      <w:rPr>
        <w:rFonts w:ascii="Times New Roman" w:hAnsi="Times New Roman" w:hint="default"/>
      </w:rPr>
    </w:lvl>
    <w:lvl w:ilvl="1" w:tplc="FFFFFFFF">
      <w:start w:val="165"/>
      <w:numFmt w:val="bullet"/>
      <w:lvlText w:val="•"/>
      <w:lvlJc w:val="left"/>
      <w:pPr>
        <w:tabs>
          <w:tab w:val="num" w:pos="1530"/>
        </w:tabs>
        <w:ind w:left="153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C575265"/>
    <w:multiLevelType w:val="hybridMultilevel"/>
    <w:tmpl w:val="D87EF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913DCB"/>
    <w:multiLevelType w:val="hybridMultilevel"/>
    <w:tmpl w:val="9B14C8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4BD0220"/>
    <w:multiLevelType w:val="hybridMultilevel"/>
    <w:tmpl w:val="ACF272A6"/>
    <w:lvl w:ilvl="0" w:tplc="67442B98">
      <w:start w:val="2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4E455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0">
    <w:nsid w:val="39F34BFD"/>
    <w:multiLevelType w:val="hybridMultilevel"/>
    <w:tmpl w:val="443AB9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1">
    <w:nsid w:val="3C1C40FC"/>
    <w:multiLevelType w:val="hybridMultilevel"/>
    <w:tmpl w:val="8CCABA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5A4809"/>
    <w:multiLevelType w:val="hybridMultilevel"/>
    <w:tmpl w:val="7D72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C1D28"/>
    <w:multiLevelType w:val="hybridMultilevel"/>
    <w:tmpl w:val="8D22C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E340E8"/>
    <w:multiLevelType w:val="hybridMultilevel"/>
    <w:tmpl w:val="51F69F1A"/>
    <w:lvl w:ilvl="0" w:tplc="CDB657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070A82"/>
    <w:multiLevelType w:val="hybridMultilevel"/>
    <w:tmpl w:val="BEDE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2256D2"/>
    <w:multiLevelType w:val="hybridMultilevel"/>
    <w:tmpl w:val="20ACDA8C"/>
    <w:lvl w:ilvl="0" w:tplc="247E463C">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FF03DD"/>
    <w:multiLevelType w:val="hybridMultilevel"/>
    <w:tmpl w:val="2B84C25E"/>
    <w:lvl w:ilvl="0" w:tplc="0409000F">
      <w:start w:val="5"/>
      <w:numFmt w:val="decimal"/>
      <w:lvlText w:val="%1."/>
      <w:lvlJc w:val="left"/>
      <w:pPr>
        <w:tabs>
          <w:tab w:val="num" w:pos="720"/>
        </w:tabs>
        <w:ind w:left="720" w:hanging="360"/>
      </w:pPr>
      <w:rPr>
        <w:rFonts w:cs="Times New Roman" w:hint="default"/>
      </w:rPr>
    </w:lvl>
    <w:lvl w:ilvl="1" w:tplc="64E2BAE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D430FEA"/>
    <w:multiLevelType w:val="hybridMultilevel"/>
    <w:tmpl w:val="885CD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1A6474"/>
    <w:multiLevelType w:val="hybridMultilevel"/>
    <w:tmpl w:val="06E28C4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5F0769B1"/>
    <w:multiLevelType w:val="hybridMultilevel"/>
    <w:tmpl w:val="034AB0E4"/>
    <w:lvl w:ilvl="0" w:tplc="9E9A1F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472EE3"/>
    <w:multiLevelType w:val="hybridMultilevel"/>
    <w:tmpl w:val="CDB64B14"/>
    <w:lvl w:ilvl="0" w:tplc="04090001">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081980"/>
    <w:multiLevelType w:val="hybridMultilevel"/>
    <w:tmpl w:val="62D05862"/>
    <w:lvl w:ilvl="0" w:tplc="64E2BAE6">
      <w:start w:val="1"/>
      <w:numFmt w:val="bullet"/>
      <w:lvlText w:val=""/>
      <w:lvlJc w:val="left"/>
      <w:pPr>
        <w:tabs>
          <w:tab w:val="num" w:pos="4320"/>
        </w:tabs>
        <w:ind w:left="4320" w:hanging="360"/>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3">
    <w:nsid w:val="719A6A3B"/>
    <w:multiLevelType w:val="hybridMultilevel"/>
    <w:tmpl w:val="6E16B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D82BAC"/>
    <w:multiLevelType w:val="hybridMultilevel"/>
    <w:tmpl w:val="EC9E2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5965DDE"/>
    <w:multiLevelType w:val="hybridMultilevel"/>
    <w:tmpl w:val="8B2C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13F62"/>
    <w:multiLevelType w:val="hybridMultilevel"/>
    <w:tmpl w:val="ABE060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75C5168"/>
    <w:multiLevelType w:val="hybridMultilevel"/>
    <w:tmpl w:val="443C40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1A2319"/>
    <w:multiLevelType w:val="hybridMultilevel"/>
    <w:tmpl w:val="4DE002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6A6679"/>
    <w:multiLevelType w:val="hybridMultilevel"/>
    <w:tmpl w:val="74706662"/>
    <w:lvl w:ilvl="0" w:tplc="54908C5E">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22"/>
  </w:num>
  <w:num w:numId="3">
    <w:abstractNumId w:val="0"/>
  </w:num>
  <w:num w:numId="4">
    <w:abstractNumId w:val="33"/>
  </w:num>
  <w:num w:numId="5">
    <w:abstractNumId w:val="37"/>
  </w:num>
  <w:num w:numId="6">
    <w:abstractNumId w:val="30"/>
  </w:num>
  <w:num w:numId="7">
    <w:abstractNumId w:val="32"/>
  </w:num>
  <w:num w:numId="8">
    <w:abstractNumId w:val="29"/>
  </w:num>
  <w:num w:numId="9">
    <w:abstractNumId w:val="7"/>
  </w:num>
  <w:num w:numId="10">
    <w:abstractNumId w:val="11"/>
  </w:num>
  <w:num w:numId="11">
    <w:abstractNumId w:val="10"/>
  </w:num>
  <w:num w:numId="12">
    <w:abstractNumId w:val="21"/>
  </w:num>
  <w:num w:numId="13">
    <w:abstractNumId w:val="28"/>
  </w:num>
  <w:num w:numId="14">
    <w:abstractNumId w:val="17"/>
  </w:num>
  <w:num w:numId="15">
    <w:abstractNumId w:val="6"/>
  </w:num>
  <w:num w:numId="16">
    <w:abstractNumId w:val="18"/>
  </w:num>
  <w:num w:numId="17">
    <w:abstractNumId w:val="25"/>
  </w:num>
  <w:num w:numId="18">
    <w:abstractNumId w:val="23"/>
  </w:num>
  <w:num w:numId="19">
    <w:abstractNumId w:val="36"/>
  </w:num>
  <w:num w:numId="20">
    <w:abstractNumId w:val="24"/>
  </w:num>
  <w:num w:numId="21">
    <w:abstractNumId w:val="34"/>
  </w:num>
  <w:num w:numId="22">
    <w:abstractNumId w:val="4"/>
  </w:num>
  <w:num w:numId="23">
    <w:abstractNumId w:val="3"/>
  </w:num>
  <w:num w:numId="24">
    <w:abstractNumId w:val="26"/>
  </w:num>
  <w:num w:numId="25">
    <w:abstractNumId w:val="38"/>
  </w:num>
  <w:num w:numId="26">
    <w:abstractNumId w:val="1"/>
  </w:num>
  <w:num w:numId="27">
    <w:abstractNumId w:val="27"/>
  </w:num>
  <w:num w:numId="28">
    <w:abstractNumId w:val="9"/>
  </w:num>
  <w:num w:numId="29">
    <w:abstractNumId w:val="2"/>
  </w:num>
  <w:num w:numId="30">
    <w:abstractNumId w:val="8"/>
  </w:num>
  <w:num w:numId="31">
    <w:abstractNumId w:val="16"/>
  </w:num>
  <w:num w:numId="32">
    <w:abstractNumId w:val="14"/>
  </w:num>
  <w:num w:numId="33">
    <w:abstractNumId w:val="39"/>
  </w:num>
  <w:num w:numId="34">
    <w:abstractNumId w:val="31"/>
  </w:num>
  <w:num w:numId="35">
    <w:abstractNumId w:val="5"/>
  </w:num>
  <w:num w:numId="36">
    <w:abstractNumId w:val="13"/>
  </w:num>
  <w:num w:numId="37">
    <w:abstractNumId w:val="15"/>
  </w:num>
  <w:num w:numId="38">
    <w:abstractNumId w:val="12"/>
  </w:num>
  <w:num w:numId="39">
    <w:abstractNumId w:val="19"/>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BB8"/>
    <w:rsid w:val="00005E59"/>
    <w:rsid w:val="00012FF7"/>
    <w:rsid w:val="000219AA"/>
    <w:rsid w:val="00021D65"/>
    <w:rsid w:val="0002693E"/>
    <w:rsid w:val="00031358"/>
    <w:rsid w:val="000363B4"/>
    <w:rsid w:val="00037989"/>
    <w:rsid w:val="000504B1"/>
    <w:rsid w:val="00064025"/>
    <w:rsid w:val="000649C9"/>
    <w:rsid w:val="00070CF9"/>
    <w:rsid w:val="00071040"/>
    <w:rsid w:val="00074BB9"/>
    <w:rsid w:val="00074D93"/>
    <w:rsid w:val="0008389B"/>
    <w:rsid w:val="00084DE7"/>
    <w:rsid w:val="00091B4D"/>
    <w:rsid w:val="00095942"/>
    <w:rsid w:val="000A5D13"/>
    <w:rsid w:val="000A76F8"/>
    <w:rsid w:val="000A7ABA"/>
    <w:rsid w:val="000B0991"/>
    <w:rsid w:val="000B6819"/>
    <w:rsid w:val="000B7B27"/>
    <w:rsid w:val="000C715D"/>
    <w:rsid w:val="000D5BAF"/>
    <w:rsid w:val="000F31C2"/>
    <w:rsid w:val="000F3928"/>
    <w:rsid w:val="00103A52"/>
    <w:rsid w:val="00103ACC"/>
    <w:rsid w:val="001219FD"/>
    <w:rsid w:val="0012665F"/>
    <w:rsid w:val="00131485"/>
    <w:rsid w:val="00135680"/>
    <w:rsid w:val="00150114"/>
    <w:rsid w:val="00153303"/>
    <w:rsid w:val="00155561"/>
    <w:rsid w:val="00161D57"/>
    <w:rsid w:val="001666C9"/>
    <w:rsid w:val="00167073"/>
    <w:rsid w:val="00181F11"/>
    <w:rsid w:val="001822FE"/>
    <w:rsid w:val="00182ED6"/>
    <w:rsid w:val="0018543E"/>
    <w:rsid w:val="0018617C"/>
    <w:rsid w:val="00196243"/>
    <w:rsid w:val="001A10FE"/>
    <w:rsid w:val="001A3FBE"/>
    <w:rsid w:val="001B4818"/>
    <w:rsid w:val="001C07E3"/>
    <w:rsid w:val="001C5361"/>
    <w:rsid w:val="00201796"/>
    <w:rsid w:val="00220D8F"/>
    <w:rsid w:val="002225A7"/>
    <w:rsid w:val="00224370"/>
    <w:rsid w:val="00234908"/>
    <w:rsid w:val="002433D0"/>
    <w:rsid w:val="00244F96"/>
    <w:rsid w:val="002475B0"/>
    <w:rsid w:val="002620B1"/>
    <w:rsid w:val="00262D5E"/>
    <w:rsid w:val="0026386D"/>
    <w:rsid w:val="00266F2B"/>
    <w:rsid w:val="002775C3"/>
    <w:rsid w:val="00280408"/>
    <w:rsid w:val="00286E33"/>
    <w:rsid w:val="00294DE2"/>
    <w:rsid w:val="002A1BE9"/>
    <w:rsid w:val="002A1FD0"/>
    <w:rsid w:val="002A379E"/>
    <w:rsid w:val="002B5002"/>
    <w:rsid w:val="002C1C29"/>
    <w:rsid w:val="002C4FE7"/>
    <w:rsid w:val="002D0EB2"/>
    <w:rsid w:val="002D275C"/>
    <w:rsid w:val="002D3E54"/>
    <w:rsid w:val="002D4B1A"/>
    <w:rsid w:val="002D6E8E"/>
    <w:rsid w:val="002E6F5D"/>
    <w:rsid w:val="002F1AAE"/>
    <w:rsid w:val="002F769C"/>
    <w:rsid w:val="00300161"/>
    <w:rsid w:val="00300651"/>
    <w:rsid w:val="0030135D"/>
    <w:rsid w:val="00312EF9"/>
    <w:rsid w:val="003204B2"/>
    <w:rsid w:val="00320F40"/>
    <w:rsid w:val="003302A4"/>
    <w:rsid w:val="00335BFB"/>
    <w:rsid w:val="003457F3"/>
    <w:rsid w:val="00353648"/>
    <w:rsid w:val="00355E01"/>
    <w:rsid w:val="00363CA8"/>
    <w:rsid w:val="0036662B"/>
    <w:rsid w:val="00374C95"/>
    <w:rsid w:val="00374ED6"/>
    <w:rsid w:val="00380150"/>
    <w:rsid w:val="0039651F"/>
    <w:rsid w:val="00396AEC"/>
    <w:rsid w:val="003B56AA"/>
    <w:rsid w:val="003C1FD0"/>
    <w:rsid w:val="003C512A"/>
    <w:rsid w:val="003D341E"/>
    <w:rsid w:val="003D417C"/>
    <w:rsid w:val="003E2D7F"/>
    <w:rsid w:val="003E3D3F"/>
    <w:rsid w:val="003F02F4"/>
    <w:rsid w:val="003F3BD1"/>
    <w:rsid w:val="003F3F1F"/>
    <w:rsid w:val="00401E4C"/>
    <w:rsid w:val="00402146"/>
    <w:rsid w:val="0040671F"/>
    <w:rsid w:val="00413535"/>
    <w:rsid w:val="00413BB8"/>
    <w:rsid w:val="004146A8"/>
    <w:rsid w:val="0042328C"/>
    <w:rsid w:val="004422F1"/>
    <w:rsid w:val="0045455A"/>
    <w:rsid w:val="00462761"/>
    <w:rsid w:val="00473D85"/>
    <w:rsid w:val="004745B3"/>
    <w:rsid w:val="004802C3"/>
    <w:rsid w:val="004821E1"/>
    <w:rsid w:val="004843EF"/>
    <w:rsid w:val="00491B47"/>
    <w:rsid w:val="0049623B"/>
    <w:rsid w:val="004962E2"/>
    <w:rsid w:val="004A36BC"/>
    <w:rsid w:val="004B0344"/>
    <w:rsid w:val="004B3349"/>
    <w:rsid w:val="004B5912"/>
    <w:rsid w:val="004B750F"/>
    <w:rsid w:val="004C229A"/>
    <w:rsid w:val="004C59CD"/>
    <w:rsid w:val="004D299E"/>
    <w:rsid w:val="004D3F5F"/>
    <w:rsid w:val="004D6838"/>
    <w:rsid w:val="004E16C6"/>
    <w:rsid w:val="004F5071"/>
    <w:rsid w:val="005047B1"/>
    <w:rsid w:val="00507700"/>
    <w:rsid w:val="00517A0D"/>
    <w:rsid w:val="005245C7"/>
    <w:rsid w:val="00525337"/>
    <w:rsid w:val="005263C3"/>
    <w:rsid w:val="00536428"/>
    <w:rsid w:val="0054081F"/>
    <w:rsid w:val="00550036"/>
    <w:rsid w:val="00551B22"/>
    <w:rsid w:val="00555DB4"/>
    <w:rsid w:val="0056237A"/>
    <w:rsid w:val="0056361D"/>
    <w:rsid w:val="005659EA"/>
    <w:rsid w:val="00571305"/>
    <w:rsid w:val="005741E4"/>
    <w:rsid w:val="00580F3B"/>
    <w:rsid w:val="00583D25"/>
    <w:rsid w:val="00584B40"/>
    <w:rsid w:val="00587343"/>
    <w:rsid w:val="005956EF"/>
    <w:rsid w:val="005A1A04"/>
    <w:rsid w:val="005A23E6"/>
    <w:rsid w:val="005A50D7"/>
    <w:rsid w:val="005A59B4"/>
    <w:rsid w:val="005B24CF"/>
    <w:rsid w:val="005B4626"/>
    <w:rsid w:val="005B7A4F"/>
    <w:rsid w:val="005C2B53"/>
    <w:rsid w:val="005D22EB"/>
    <w:rsid w:val="005D3885"/>
    <w:rsid w:val="005D5EE9"/>
    <w:rsid w:val="005E76F2"/>
    <w:rsid w:val="005F1AB4"/>
    <w:rsid w:val="005F7DCE"/>
    <w:rsid w:val="0060049B"/>
    <w:rsid w:val="00610D14"/>
    <w:rsid w:val="00611CC8"/>
    <w:rsid w:val="00620FC1"/>
    <w:rsid w:val="00622AFA"/>
    <w:rsid w:val="006240D9"/>
    <w:rsid w:val="00625669"/>
    <w:rsid w:val="00632388"/>
    <w:rsid w:val="00635E7E"/>
    <w:rsid w:val="0065105A"/>
    <w:rsid w:val="006571FB"/>
    <w:rsid w:val="00672CEE"/>
    <w:rsid w:val="00675041"/>
    <w:rsid w:val="0067553C"/>
    <w:rsid w:val="006764A2"/>
    <w:rsid w:val="006773B2"/>
    <w:rsid w:val="00681B5A"/>
    <w:rsid w:val="00682B8C"/>
    <w:rsid w:val="00691350"/>
    <w:rsid w:val="006922A9"/>
    <w:rsid w:val="006A1BBF"/>
    <w:rsid w:val="006A321E"/>
    <w:rsid w:val="006A7730"/>
    <w:rsid w:val="006B145E"/>
    <w:rsid w:val="006B6DCA"/>
    <w:rsid w:val="006C6EF6"/>
    <w:rsid w:val="006D0ECD"/>
    <w:rsid w:val="006D20FF"/>
    <w:rsid w:val="006D526D"/>
    <w:rsid w:val="006E4EB7"/>
    <w:rsid w:val="006F1CD9"/>
    <w:rsid w:val="006F405F"/>
    <w:rsid w:val="006F76FC"/>
    <w:rsid w:val="007027A5"/>
    <w:rsid w:val="007231D6"/>
    <w:rsid w:val="0074051A"/>
    <w:rsid w:val="0074283D"/>
    <w:rsid w:val="007452F7"/>
    <w:rsid w:val="00747133"/>
    <w:rsid w:val="00751B03"/>
    <w:rsid w:val="00780845"/>
    <w:rsid w:val="00780FDE"/>
    <w:rsid w:val="00786EBB"/>
    <w:rsid w:val="007900C2"/>
    <w:rsid w:val="00790AAF"/>
    <w:rsid w:val="00793709"/>
    <w:rsid w:val="007A04D8"/>
    <w:rsid w:val="007C3F24"/>
    <w:rsid w:val="007D425B"/>
    <w:rsid w:val="007E1FD1"/>
    <w:rsid w:val="007E31A0"/>
    <w:rsid w:val="007E3E90"/>
    <w:rsid w:val="007F2013"/>
    <w:rsid w:val="00810C8A"/>
    <w:rsid w:val="00810DD6"/>
    <w:rsid w:val="008132DB"/>
    <w:rsid w:val="008207ED"/>
    <w:rsid w:val="00820F85"/>
    <w:rsid w:val="0082169B"/>
    <w:rsid w:val="00826C06"/>
    <w:rsid w:val="008444C9"/>
    <w:rsid w:val="0085553D"/>
    <w:rsid w:val="008643D8"/>
    <w:rsid w:val="00872DD0"/>
    <w:rsid w:val="00875460"/>
    <w:rsid w:val="00875CF1"/>
    <w:rsid w:val="00890394"/>
    <w:rsid w:val="00890F85"/>
    <w:rsid w:val="00892C0A"/>
    <w:rsid w:val="00893E6A"/>
    <w:rsid w:val="00897209"/>
    <w:rsid w:val="008A51A5"/>
    <w:rsid w:val="008A6710"/>
    <w:rsid w:val="008B4126"/>
    <w:rsid w:val="008B64E6"/>
    <w:rsid w:val="008C465D"/>
    <w:rsid w:val="008C7374"/>
    <w:rsid w:val="008D19BE"/>
    <w:rsid w:val="008D1C1F"/>
    <w:rsid w:val="008D4046"/>
    <w:rsid w:val="008D5364"/>
    <w:rsid w:val="00904145"/>
    <w:rsid w:val="00907C8F"/>
    <w:rsid w:val="00932E20"/>
    <w:rsid w:val="0094750D"/>
    <w:rsid w:val="00960BE5"/>
    <w:rsid w:val="00967F8F"/>
    <w:rsid w:val="0097420F"/>
    <w:rsid w:val="00975E00"/>
    <w:rsid w:val="00986469"/>
    <w:rsid w:val="009A5999"/>
    <w:rsid w:val="009A6214"/>
    <w:rsid w:val="009A736E"/>
    <w:rsid w:val="009B3AE7"/>
    <w:rsid w:val="009B5F20"/>
    <w:rsid w:val="009B632E"/>
    <w:rsid w:val="009B7514"/>
    <w:rsid w:val="009C3BE0"/>
    <w:rsid w:val="009C4101"/>
    <w:rsid w:val="009C7A2C"/>
    <w:rsid w:val="009D2F6D"/>
    <w:rsid w:val="009E1853"/>
    <w:rsid w:val="009E3806"/>
    <w:rsid w:val="009E3ABF"/>
    <w:rsid w:val="009E7747"/>
    <w:rsid w:val="009E7DE5"/>
    <w:rsid w:val="00A004C1"/>
    <w:rsid w:val="00A03A03"/>
    <w:rsid w:val="00A150BE"/>
    <w:rsid w:val="00A36627"/>
    <w:rsid w:val="00A430F9"/>
    <w:rsid w:val="00A43F27"/>
    <w:rsid w:val="00A50734"/>
    <w:rsid w:val="00A6042D"/>
    <w:rsid w:val="00A756EA"/>
    <w:rsid w:val="00A85F4C"/>
    <w:rsid w:val="00A92F24"/>
    <w:rsid w:val="00A940D7"/>
    <w:rsid w:val="00AA3D5E"/>
    <w:rsid w:val="00AA4A61"/>
    <w:rsid w:val="00AB3086"/>
    <w:rsid w:val="00AB641D"/>
    <w:rsid w:val="00AC4650"/>
    <w:rsid w:val="00AD0412"/>
    <w:rsid w:val="00AD23F1"/>
    <w:rsid w:val="00AE18BF"/>
    <w:rsid w:val="00AE19F9"/>
    <w:rsid w:val="00AF02A7"/>
    <w:rsid w:val="00B003BD"/>
    <w:rsid w:val="00B06650"/>
    <w:rsid w:val="00B21FE9"/>
    <w:rsid w:val="00B22C17"/>
    <w:rsid w:val="00B27FEC"/>
    <w:rsid w:val="00B302B6"/>
    <w:rsid w:val="00B30B02"/>
    <w:rsid w:val="00B30B59"/>
    <w:rsid w:val="00B36E6C"/>
    <w:rsid w:val="00B37BF6"/>
    <w:rsid w:val="00B43FB2"/>
    <w:rsid w:val="00B51B2A"/>
    <w:rsid w:val="00B51BEE"/>
    <w:rsid w:val="00B57EEA"/>
    <w:rsid w:val="00B75E5A"/>
    <w:rsid w:val="00B7733C"/>
    <w:rsid w:val="00B80E64"/>
    <w:rsid w:val="00B814C4"/>
    <w:rsid w:val="00B83855"/>
    <w:rsid w:val="00B946CD"/>
    <w:rsid w:val="00B97E85"/>
    <w:rsid w:val="00BA3278"/>
    <w:rsid w:val="00BA4725"/>
    <w:rsid w:val="00BB13B8"/>
    <w:rsid w:val="00BC2433"/>
    <w:rsid w:val="00BD30B5"/>
    <w:rsid w:val="00BD6488"/>
    <w:rsid w:val="00BF2EB4"/>
    <w:rsid w:val="00BF472C"/>
    <w:rsid w:val="00C0076A"/>
    <w:rsid w:val="00C03831"/>
    <w:rsid w:val="00C04ED0"/>
    <w:rsid w:val="00C0670C"/>
    <w:rsid w:val="00C07762"/>
    <w:rsid w:val="00C216E4"/>
    <w:rsid w:val="00C23389"/>
    <w:rsid w:val="00C23AC9"/>
    <w:rsid w:val="00C32B62"/>
    <w:rsid w:val="00C42DEC"/>
    <w:rsid w:val="00C430FB"/>
    <w:rsid w:val="00C5529D"/>
    <w:rsid w:val="00C563B8"/>
    <w:rsid w:val="00C575CE"/>
    <w:rsid w:val="00C64C89"/>
    <w:rsid w:val="00C66342"/>
    <w:rsid w:val="00C81C76"/>
    <w:rsid w:val="00C90C36"/>
    <w:rsid w:val="00C916E8"/>
    <w:rsid w:val="00C94C1F"/>
    <w:rsid w:val="00C96FD1"/>
    <w:rsid w:val="00CA71E3"/>
    <w:rsid w:val="00CC30D2"/>
    <w:rsid w:val="00CC388C"/>
    <w:rsid w:val="00CC65EA"/>
    <w:rsid w:val="00CD2C04"/>
    <w:rsid w:val="00CE18F4"/>
    <w:rsid w:val="00CE261C"/>
    <w:rsid w:val="00CE5B20"/>
    <w:rsid w:val="00CF4BC1"/>
    <w:rsid w:val="00D0040A"/>
    <w:rsid w:val="00D040B0"/>
    <w:rsid w:val="00D0690F"/>
    <w:rsid w:val="00D06DB3"/>
    <w:rsid w:val="00D12BDA"/>
    <w:rsid w:val="00D15A65"/>
    <w:rsid w:val="00D200E0"/>
    <w:rsid w:val="00D205FA"/>
    <w:rsid w:val="00D253CE"/>
    <w:rsid w:val="00D25DDD"/>
    <w:rsid w:val="00D26F1E"/>
    <w:rsid w:val="00D51DCE"/>
    <w:rsid w:val="00D51E11"/>
    <w:rsid w:val="00D623D0"/>
    <w:rsid w:val="00D77C14"/>
    <w:rsid w:val="00D91E61"/>
    <w:rsid w:val="00D94B88"/>
    <w:rsid w:val="00D94B8A"/>
    <w:rsid w:val="00D97523"/>
    <w:rsid w:val="00DA384C"/>
    <w:rsid w:val="00DA5644"/>
    <w:rsid w:val="00DC07DB"/>
    <w:rsid w:val="00DD1806"/>
    <w:rsid w:val="00DD256A"/>
    <w:rsid w:val="00DD27EB"/>
    <w:rsid w:val="00DD7422"/>
    <w:rsid w:val="00DE2FBA"/>
    <w:rsid w:val="00DE4776"/>
    <w:rsid w:val="00DF02C3"/>
    <w:rsid w:val="00DF58DB"/>
    <w:rsid w:val="00E0022E"/>
    <w:rsid w:val="00E00698"/>
    <w:rsid w:val="00E11E44"/>
    <w:rsid w:val="00E172B9"/>
    <w:rsid w:val="00E22DA3"/>
    <w:rsid w:val="00E23BF0"/>
    <w:rsid w:val="00E266C6"/>
    <w:rsid w:val="00E36D6C"/>
    <w:rsid w:val="00E42160"/>
    <w:rsid w:val="00E45A24"/>
    <w:rsid w:val="00E60860"/>
    <w:rsid w:val="00E73377"/>
    <w:rsid w:val="00E75534"/>
    <w:rsid w:val="00E910CC"/>
    <w:rsid w:val="00E93300"/>
    <w:rsid w:val="00EA0065"/>
    <w:rsid w:val="00EA2B07"/>
    <w:rsid w:val="00EA7752"/>
    <w:rsid w:val="00EC0EBF"/>
    <w:rsid w:val="00EC37FE"/>
    <w:rsid w:val="00EC4C52"/>
    <w:rsid w:val="00ED016F"/>
    <w:rsid w:val="00ED4330"/>
    <w:rsid w:val="00ED6B0F"/>
    <w:rsid w:val="00EE282D"/>
    <w:rsid w:val="00EF109C"/>
    <w:rsid w:val="00F056E3"/>
    <w:rsid w:val="00F100AB"/>
    <w:rsid w:val="00F10F4F"/>
    <w:rsid w:val="00F1393C"/>
    <w:rsid w:val="00F2510C"/>
    <w:rsid w:val="00F2640A"/>
    <w:rsid w:val="00F2674D"/>
    <w:rsid w:val="00F312CA"/>
    <w:rsid w:val="00F37C8F"/>
    <w:rsid w:val="00F429C7"/>
    <w:rsid w:val="00F56F85"/>
    <w:rsid w:val="00F64225"/>
    <w:rsid w:val="00F651F3"/>
    <w:rsid w:val="00F70CAA"/>
    <w:rsid w:val="00F74CD1"/>
    <w:rsid w:val="00F75A30"/>
    <w:rsid w:val="00F86053"/>
    <w:rsid w:val="00F9105B"/>
    <w:rsid w:val="00FA2FEC"/>
    <w:rsid w:val="00FA3663"/>
    <w:rsid w:val="00FA4531"/>
    <w:rsid w:val="00FA79F1"/>
    <w:rsid w:val="00FB3976"/>
    <w:rsid w:val="00FB61CB"/>
    <w:rsid w:val="00FB6652"/>
    <w:rsid w:val="00FC24BD"/>
    <w:rsid w:val="00FC2CF2"/>
    <w:rsid w:val="00FC6F74"/>
    <w:rsid w:val="00FC700B"/>
    <w:rsid w:val="00FD0EBB"/>
    <w:rsid w:val="00FD6EB2"/>
    <w:rsid w:val="00FE07AE"/>
    <w:rsid w:val="00FE44D6"/>
    <w:rsid w:val="00FF3F4D"/>
    <w:rsid w:val="00FF7C9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BB8"/>
    <w:pPr>
      <w:widowControl w:val="0"/>
    </w:pPr>
    <w:rPr>
      <w:rFonts w:ascii="Times New Roman" w:eastAsia="Times New Roman" w:hAnsi="Times New Roman"/>
      <w:sz w:val="24"/>
      <w:szCs w:val="20"/>
    </w:rPr>
  </w:style>
  <w:style w:type="paragraph" w:styleId="Heading3">
    <w:name w:val="heading 3"/>
    <w:basedOn w:val="Normal"/>
    <w:link w:val="Heading3Char"/>
    <w:uiPriority w:val="99"/>
    <w:qFormat/>
    <w:rsid w:val="00E42160"/>
    <w:pPr>
      <w:widowControl/>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42160"/>
    <w:rPr>
      <w:rFonts w:ascii="Times New Roman" w:hAnsi="Times New Roman" w:cs="Times New Roman"/>
      <w:b/>
      <w:bCs/>
      <w:sz w:val="27"/>
      <w:szCs w:val="27"/>
    </w:rPr>
  </w:style>
  <w:style w:type="character" w:styleId="FootnoteReference">
    <w:name w:val="footnote reference"/>
    <w:basedOn w:val="DefaultParagraphFont"/>
    <w:uiPriority w:val="99"/>
    <w:rsid w:val="00413BB8"/>
    <w:rPr>
      <w:rFonts w:cs="Times New Roman"/>
    </w:rPr>
  </w:style>
  <w:style w:type="paragraph" w:styleId="ListParagraph">
    <w:name w:val="List Paragraph"/>
    <w:basedOn w:val="Normal"/>
    <w:uiPriority w:val="99"/>
    <w:qFormat/>
    <w:rsid w:val="00413BB8"/>
    <w:pPr>
      <w:ind w:left="720"/>
      <w:contextualSpacing/>
    </w:pPr>
  </w:style>
  <w:style w:type="paragraph" w:styleId="FootnoteText">
    <w:name w:val="footnote text"/>
    <w:aliases w:val="Char"/>
    <w:basedOn w:val="Normal"/>
    <w:link w:val="FootnoteTextChar"/>
    <w:uiPriority w:val="99"/>
    <w:semiHidden/>
    <w:rsid w:val="00622AFA"/>
    <w:pPr>
      <w:widowControl/>
      <w:spacing w:after="120"/>
    </w:pPr>
    <w:rPr>
      <w:sz w:val="20"/>
    </w:rPr>
  </w:style>
  <w:style w:type="character" w:customStyle="1" w:styleId="FootnoteTextChar">
    <w:name w:val="Footnote Text Char"/>
    <w:aliases w:val="Char Char"/>
    <w:basedOn w:val="DefaultParagraphFont"/>
    <w:link w:val="FootnoteText"/>
    <w:uiPriority w:val="99"/>
    <w:locked/>
    <w:rsid w:val="00622AFA"/>
    <w:rPr>
      <w:rFonts w:ascii="Times New Roman" w:hAnsi="Times New Roman" w:cs="Times New Roman"/>
      <w:sz w:val="20"/>
      <w:szCs w:val="20"/>
    </w:rPr>
  </w:style>
  <w:style w:type="paragraph" w:styleId="NormalWeb">
    <w:name w:val="Normal (Web)"/>
    <w:basedOn w:val="Normal"/>
    <w:uiPriority w:val="99"/>
    <w:rsid w:val="0065105A"/>
    <w:pPr>
      <w:widowControl/>
      <w:spacing w:before="100" w:beforeAutospacing="1" w:after="100" w:afterAutospacing="1"/>
    </w:pPr>
    <w:rPr>
      <w:szCs w:val="24"/>
    </w:rPr>
  </w:style>
  <w:style w:type="character" w:styleId="Emphasis">
    <w:name w:val="Emphasis"/>
    <w:basedOn w:val="DefaultParagraphFont"/>
    <w:uiPriority w:val="99"/>
    <w:qFormat/>
    <w:rsid w:val="00224370"/>
    <w:rPr>
      <w:rFonts w:cs="Times New Roman"/>
      <w:i/>
      <w:iCs/>
    </w:rPr>
  </w:style>
  <w:style w:type="paragraph" w:styleId="Header">
    <w:name w:val="header"/>
    <w:basedOn w:val="Normal"/>
    <w:link w:val="HeaderChar"/>
    <w:uiPriority w:val="99"/>
    <w:semiHidden/>
    <w:rsid w:val="008B64E6"/>
    <w:pPr>
      <w:tabs>
        <w:tab w:val="center" w:pos="4680"/>
        <w:tab w:val="right" w:pos="9360"/>
      </w:tabs>
    </w:pPr>
  </w:style>
  <w:style w:type="character" w:customStyle="1" w:styleId="HeaderChar">
    <w:name w:val="Header Char"/>
    <w:basedOn w:val="DefaultParagraphFont"/>
    <w:link w:val="Header"/>
    <w:uiPriority w:val="99"/>
    <w:semiHidden/>
    <w:locked/>
    <w:rsid w:val="008B64E6"/>
    <w:rPr>
      <w:rFonts w:ascii="Times New Roman" w:hAnsi="Times New Roman" w:cs="Times New Roman"/>
      <w:snapToGrid w:val="0"/>
      <w:sz w:val="20"/>
      <w:szCs w:val="20"/>
    </w:rPr>
  </w:style>
  <w:style w:type="paragraph" w:styleId="Footer">
    <w:name w:val="footer"/>
    <w:basedOn w:val="Normal"/>
    <w:link w:val="FooterChar"/>
    <w:uiPriority w:val="99"/>
    <w:rsid w:val="008B64E6"/>
    <w:pPr>
      <w:tabs>
        <w:tab w:val="center" w:pos="4680"/>
        <w:tab w:val="right" w:pos="9360"/>
      </w:tabs>
    </w:pPr>
  </w:style>
  <w:style w:type="character" w:customStyle="1" w:styleId="FooterChar">
    <w:name w:val="Footer Char"/>
    <w:basedOn w:val="DefaultParagraphFont"/>
    <w:link w:val="Footer"/>
    <w:uiPriority w:val="99"/>
    <w:locked/>
    <w:rsid w:val="008B64E6"/>
    <w:rPr>
      <w:rFonts w:ascii="Times New Roman" w:hAnsi="Times New Roman" w:cs="Times New Roman"/>
      <w:snapToGrid w:val="0"/>
      <w:sz w:val="20"/>
      <w:szCs w:val="20"/>
    </w:rPr>
  </w:style>
  <w:style w:type="character" w:customStyle="1" w:styleId="documentbody1">
    <w:name w:val="documentbody1"/>
    <w:basedOn w:val="DefaultParagraphFont"/>
    <w:uiPriority w:val="99"/>
    <w:rsid w:val="00037989"/>
    <w:rPr>
      <w:rFonts w:ascii="Verdana" w:hAnsi="Verdana" w:cs="Times New Roman"/>
      <w:sz w:val="19"/>
      <w:szCs w:val="19"/>
    </w:rPr>
  </w:style>
  <w:style w:type="paragraph" w:customStyle="1" w:styleId="Default">
    <w:name w:val="Default"/>
    <w:uiPriority w:val="99"/>
    <w:rsid w:val="00401E4C"/>
    <w:pPr>
      <w:autoSpaceDE w:val="0"/>
      <w:autoSpaceDN w:val="0"/>
      <w:adjustRightInd w:val="0"/>
    </w:pPr>
    <w:rPr>
      <w:rFonts w:ascii="Arial" w:eastAsia="Times New Roman" w:hAnsi="Arial" w:cs="Arial"/>
      <w:color w:val="000000"/>
      <w:sz w:val="24"/>
      <w:szCs w:val="24"/>
    </w:rPr>
  </w:style>
  <w:style w:type="character" w:customStyle="1" w:styleId="resultsublistitem1">
    <w:name w:val="resultsublistitem1"/>
    <w:basedOn w:val="DefaultParagraphFont"/>
    <w:uiPriority w:val="99"/>
    <w:rsid w:val="001666C9"/>
    <w:rPr>
      <w:rFonts w:ascii="Arial" w:hAnsi="Arial" w:cs="Arial"/>
      <w:sz w:val="16"/>
      <w:szCs w:val="16"/>
    </w:rPr>
  </w:style>
  <w:style w:type="character" w:styleId="Strong">
    <w:name w:val="Strong"/>
    <w:basedOn w:val="DefaultParagraphFont"/>
    <w:uiPriority w:val="99"/>
    <w:qFormat/>
    <w:rsid w:val="001666C9"/>
    <w:rPr>
      <w:rFonts w:cs="Times New Roman"/>
      <w:b/>
      <w:bCs/>
    </w:rPr>
  </w:style>
  <w:style w:type="paragraph" w:styleId="BodyText">
    <w:name w:val="Body Text"/>
    <w:basedOn w:val="Normal"/>
    <w:link w:val="BodyTextChar"/>
    <w:uiPriority w:val="99"/>
    <w:rsid w:val="00960BE5"/>
    <w:rPr>
      <w:rFonts w:ascii="Arial" w:hAnsi="Arial"/>
    </w:rPr>
  </w:style>
  <w:style w:type="character" w:customStyle="1" w:styleId="BodyTextChar">
    <w:name w:val="Body Text Char"/>
    <w:basedOn w:val="DefaultParagraphFont"/>
    <w:link w:val="BodyText"/>
    <w:uiPriority w:val="99"/>
    <w:locked/>
    <w:rsid w:val="00960BE5"/>
    <w:rPr>
      <w:rFonts w:ascii="Arial" w:hAnsi="Arial" w:cs="Times New Roman"/>
      <w:snapToGrid w:val="0"/>
      <w:sz w:val="20"/>
      <w:szCs w:val="20"/>
    </w:rPr>
  </w:style>
  <w:style w:type="character" w:styleId="Hyperlink">
    <w:name w:val="Hyperlink"/>
    <w:basedOn w:val="DefaultParagraphFont"/>
    <w:uiPriority w:val="99"/>
    <w:rsid w:val="00C90C3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de@energyandwatereconom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6000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Thoughts about Origins of Regulatory Takings Confusion </dc:title>
  <dc:subject/>
  <dc:creator>Bill Wade</dc:creator>
  <cp:keywords/>
  <dc:description/>
  <cp:lastModifiedBy>Brad Kuhn</cp:lastModifiedBy>
  <cp:revision>2</cp:revision>
  <cp:lastPrinted>2011-04-04T18:14:00Z</cp:lastPrinted>
  <dcterms:created xsi:type="dcterms:W3CDTF">2011-05-17T16:45:00Z</dcterms:created>
  <dcterms:modified xsi:type="dcterms:W3CDTF">2011-05-17T16:45:00Z</dcterms:modified>
</cp:coreProperties>
</file>